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461D4D3" w:rsidR="00093CA9" w:rsidRDefault="001342CC" w:rsidP="00093CA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CC33C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A3DD7D3" w:rsidR="00093CA9" w:rsidRPr="00AB5E37" w:rsidRDefault="009E2F23" w:rsidP="00093CA9">
            <w:pPr>
              <w:rPr>
                <w:lang w:val="pt-BR"/>
              </w:rPr>
            </w:pPr>
            <w:proofErr w:type="spellStart"/>
            <w:r w:rsidRPr="00AB5E37">
              <w:rPr>
                <w:lang w:val="pt-BR"/>
              </w:rPr>
              <w:t>Brazilian</w:t>
            </w:r>
            <w:proofErr w:type="spellEnd"/>
            <w:r w:rsidRPr="00AB5E37">
              <w:rPr>
                <w:lang w:val="pt-BR"/>
              </w:rPr>
              <w:t xml:space="preserve"> Central Bank </w:t>
            </w:r>
            <w:proofErr w:type="spellStart"/>
            <w:r w:rsidRPr="00AB5E37">
              <w:rPr>
                <w:lang w:val="pt-BR"/>
              </w:rPr>
              <w:t>Resolution</w:t>
            </w:r>
            <w:proofErr w:type="spellEnd"/>
            <w:r w:rsidRPr="00AB5E37">
              <w:rPr>
                <w:lang w:val="pt-BR"/>
              </w:rPr>
              <w:t xml:space="preserve"> No. 4,606/2017 - </w:t>
            </w:r>
            <w:proofErr w:type="spellStart"/>
            <w:r w:rsidRPr="00AB5E37">
              <w:rPr>
                <w:lang w:val="pt-BR"/>
              </w:rPr>
              <w:t>Simplified</w:t>
            </w:r>
            <w:proofErr w:type="spellEnd"/>
            <w:r w:rsidRPr="00AB5E37">
              <w:rPr>
                <w:lang w:val="pt-BR"/>
              </w:rPr>
              <w:t xml:space="preserve"> </w:t>
            </w:r>
            <w:proofErr w:type="spellStart"/>
            <w:r w:rsidRPr="00AB5E37">
              <w:rPr>
                <w:lang w:val="pt-BR"/>
              </w:rPr>
              <w:t>methodology</w:t>
            </w:r>
            <w:proofErr w:type="spellEnd"/>
            <w:r w:rsidRPr="00AB5E37">
              <w:rPr>
                <w:lang w:val="pt-BR"/>
              </w:rPr>
              <w:t xml:space="preserve"> for </w:t>
            </w:r>
            <w:proofErr w:type="spellStart"/>
            <w:r w:rsidRPr="00AB5E37">
              <w:rPr>
                <w:lang w:val="pt-BR"/>
              </w:rPr>
              <w:t>the</w:t>
            </w:r>
            <w:proofErr w:type="spellEnd"/>
            <w:r w:rsidRPr="00AB5E37">
              <w:rPr>
                <w:lang w:val="pt-BR"/>
              </w:rPr>
              <w:t xml:space="preserve"> </w:t>
            </w:r>
            <w:proofErr w:type="spellStart"/>
            <w:r w:rsidRPr="00AB5E37">
              <w:rPr>
                <w:lang w:val="pt-BR"/>
              </w:rPr>
              <w:t>Simplified</w:t>
            </w:r>
            <w:proofErr w:type="spellEnd"/>
            <w:r w:rsidRPr="00AB5E37">
              <w:rPr>
                <w:lang w:val="pt-BR"/>
              </w:rPr>
              <w:t xml:space="preserve"> </w:t>
            </w:r>
            <w:proofErr w:type="spellStart"/>
            <w:r w:rsidRPr="00AB5E37">
              <w:rPr>
                <w:lang w:val="pt-BR"/>
              </w:rPr>
              <w:t>Reference</w:t>
            </w:r>
            <w:proofErr w:type="spellEnd"/>
            <w:r w:rsidRPr="00AB5E37">
              <w:rPr>
                <w:lang w:val="pt-BR"/>
              </w:rPr>
              <w:t xml:space="preserve"> </w:t>
            </w:r>
            <w:proofErr w:type="spellStart"/>
            <w:r w:rsidRPr="00AB5E37">
              <w:rPr>
                <w:lang w:val="pt-BR"/>
              </w:rPr>
              <w:t>Assets</w:t>
            </w:r>
            <w:proofErr w:type="spellEnd"/>
            <w:r w:rsidRPr="00AB5E37">
              <w:rPr>
                <w:lang w:val="pt-BR"/>
              </w:rPr>
              <w:t xml:space="preserve"> (PRS5) (Resolução nº 4.606/2017 do Banco Central do Brasil - Dispõe sobre a metodologia facultativa simplificada do Patrimônio de Referência Simplificado (PRS5))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E16644" w:rsidR="00093CA9" w:rsidRDefault="00AB5E37" w:rsidP="00093CA9">
            <w:hyperlink r:id="rId17" w:history="1">
              <w:r w:rsidRPr="00BE42A1">
                <w:rPr>
                  <w:rStyle w:val="Hyperlink"/>
                </w:rPr>
                <w:t>https://normativos.bcb.gov.br/Lists/Normativos/Attachments/50454/Res_4606_v5_P.pdf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B705C36" w:rsidR="00093CA9" w:rsidRDefault="003B2B2B"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FDF781E" w:rsidR="00093CA9" w:rsidRPr="00AB5E37" w:rsidRDefault="00AB5E37" w:rsidP="00093CA9">
            <w:pPr>
              <w:rPr>
                <w:lang w:val="en-US"/>
              </w:rPr>
            </w:pPr>
            <w:r w:rsidRPr="00AB5E37">
              <w:rPr>
                <w:lang w:val="en-US"/>
              </w:rPr>
              <w:t>Brazilian Central Bank Resolution No. 4,606/2017 crea</w:t>
            </w:r>
            <w:r>
              <w:rPr>
                <w:lang w:val="en-US"/>
              </w:rPr>
              <w:t>tes</w:t>
            </w:r>
            <w:r w:rsidRPr="00AB5E37">
              <w:rPr>
                <w:lang w:val="en-US"/>
              </w:rPr>
              <w:t xml:space="preserve"> a simplified capital adequacy calculation (the PRS5). Its goal is to reduce the regulatory burden for smaller financial institutions.</w:t>
            </w:r>
            <w:r w:rsidR="00FF2ADD">
              <w:rPr>
                <w:lang w:val="en-US"/>
              </w:rPr>
              <w:t xml:space="preserve"> </w:t>
            </w:r>
            <w:r w:rsidRPr="00AB5E37">
              <w:rPr>
                <w:lang w:val="en-US"/>
              </w:rPr>
              <w:t xml:space="preserve">This policy applies the principle of proportionality to regulation. By simplifying risk-weighted asset calculations, it ensures smaller entities still hold sufficient capital to absorb losses. </w:t>
            </w:r>
            <w:proofErr w:type="spellStart"/>
            <w:r w:rsidRPr="00AB5E37">
              <w:rPr>
                <w:lang w:val="pt-BR"/>
              </w:rPr>
              <w:t>This</w:t>
            </w:r>
            <w:proofErr w:type="spellEnd"/>
            <w:r w:rsidRPr="00AB5E37">
              <w:rPr>
                <w:lang w:val="pt-BR"/>
              </w:rPr>
              <w:t xml:space="preserve"> </w:t>
            </w:r>
            <w:proofErr w:type="spellStart"/>
            <w:r w:rsidRPr="00AB5E37">
              <w:rPr>
                <w:lang w:val="pt-BR"/>
              </w:rPr>
              <w:t>efficiently</w:t>
            </w:r>
            <w:proofErr w:type="spellEnd"/>
            <w:r w:rsidRPr="00AB5E37">
              <w:rPr>
                <w:lang w:val="pt-BR"/>
              </w:rPr>
              <w:t xml:space="preserve"> </w:t>
            </w:r>
            <w:proofErr w:type="spellStart"/>
            <w:r w:rsidRPr="00AB5E37">
              <w:rPr>
                <w:lang w:val="pt-BR"/>
              </w:rPr>
              <w:t>protects</w:t>
            </w:r>
            <w:proofErr w:type="spellEnd"/>
            <w:r w:rsidRPr="00AB5E37">
              <w:rPr>
                <w:lang w:val="pt-BR"/>
              </w:rPr>
              <w:t xml:space="preserve"> </w:t>
            </w:r>
            <w:proofErr w:type="spellStart"/>
            <w:r w:rsidRPr="00AB5E37">
              <w:rPr>
                <w:lang w:val="pt-BR"/>
              </w:rPr>
              <w:t>the</w:t>
            </w:r>
            <w:proofErr w:type="spellEnd"/>
            <w:r w:rsidRPr="00AB5E37">
              <w:rPr>
                <w:lang w:val="pt-BR"/>
              </w:rPr>
              <w:t xml:space="preserve"> </w:t>
            </w:r>
            <w:proofErr w:type="spellStart"/>
            <w:r w:rsidRPr="00AB5E37">
              <w:rPr>
                <w:lang w:val="pt-BR"/>
              </w:rPr>
              <w:t>stability</w:t>
            </w:r>
            <w:proofErr w:type="spellEnd"/>
            <w:r w:rsidRPr="00AB5E37">
              <w:rPr>
                <w:lang w:val="pt-BR"/>
              </w:rPr>
              <w:t xml:space="preserve"> of </w:t>
            </w:r>
            <w:proofErr w:type="spellStart"/>
            <w:r w:rsidRPr="00AB5E37">
              <w:rPr>
                <w:lang w:val="pt-BR"/>
              </w:rPr>
              <w:t>the</w:t>
            </w:r>
            <w:proofErr w:type="spellEnd"/>
            <w:r w:rsidRPr="00AB5E37">
              <w:rPr>
                <w:lang w:val="pt-BR"/>
              </w:rPr>
              <w:t xml:space="preserve"> financial system</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017FADC7" w:rsidR="00093CA9" w:rsidRDefault="00AB5E3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3B33969" w:rsidR="00093CA9" w:rsidRPr="00173D7C" w:rsidRDefault="00C23F24"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43D0177" w:rsidR="00093CA9" w:rsidRPr="00173D7C" w:rsidRDefault="00AB5E37" w:rsidP="00093CA9">
            <w:pPr>
              <w:rPr>
                <w:color w:val="000000" w:themeColor="text1"/>
              </w:rPr>
            </w:pPr>
            <w:r>
              <w:rPr>
                <w:color w:val="000000" w:themeColor="text1"/>
              </w:rPr>
              <w:t>2018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B799FAD" w:rsidR="00093CA9" w:rsidRDefault="00C23F24" w:rsidP="00093CA9">
            <w:r w:rsidRPr="00C23F24">
              <w:t>Central Bank of Brazil</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39C85BC" w:rsidR="00093CA9" w:rsidRPr="006B7B0D" w:rsidRDefault="00C23F24" w:rsidP="00093CA9">
            <w:r w:rsidRPr="00C23F24">
              <w:t>Central Bank of Brazil</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90BA27" w:rsidR="00093CA9" w:rsidRPr="006B7B0D" w:rsidRDefault="00C23F2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1D14D54" w:rsidR="00093CA9" w:rsidRDefault="00C23F2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F30C1A7" w:rsidR="00093CA9" w:rsidRPr="008017F9" w:rsidRDefault="00584C1D" w:rsidP="00584C1D">
            <w:pPr>
              <w:keepNext/>
              <w:rPr>
                <w:color w:val="000000" w:themeColor="text1"/>
              </w:rPr>
            </w:pPr>
            <w:r>
              <w:rPr>
                <w:color w:val="000000" w:themeColor="text1"/>
                <w:lang w:val="en-US"/>
              </w:rPr>
              <w:t xml:space="preserve">The policy tool does </w:t>
            </w:r>
            <w:r w:rsidRPr="00584C1D">
              <w:rPr>
                <w:color w:val="000000" w:themeColor="text1"/>
                <w:lang w:val="en-US"/>
              </w:rPr>
              <w:t>not explicitly mandate open data systems or public dashboards. The main monitoring and reporting instruments are internal and directed to the Central Bank of Brazil (BCB)</w:t>
            </w:r>
            <w:r>
              <w:rPr>
                <w:color w:val="000000" w:themeColor="text1"/>
                <w:lang w:val="en-US"/>
              </w:rPr>
              <w:t>. According to Article 16, t</w:t>
            </w:r>
            <w:r w:rsidRPr="00584C1D">
              <w:rPr>
                <w:color w:val="000000" w:themeColor="text1"/>
                <w:lang w:val="en-US"/>
              </w:rPr>
              <w:t>he decision to opt for or withdraw from the simplified methodology must be approved by the board of directors and communicated to the Central Bank of Brazil. The start and end of the use of the methodology are conditioned on the BCB’s confirmation of receipt of this communication. All requirements must be met prior to the communication or by the time the BCB confirms receipt of the withdrawal.</w:t>
            </w:r>
            <w:r>
              <w:rPr>
                <w:color w:val="000000" w:themeColor="text1"/>
                <w:lang w:val="en-US"/>
              </w:rPr>
              <w:t xml:space="preserve"> Article 21, IX, r</w:t>
            </w:r>
            <w:r w:rsidRPr="00584C1D">
              <w:rPr>
                <w:color w:val="000000" w:themeColor="text1"/>
                <w:lang w:val="en-US"/>
              </w:rPr>
              <w:t>equires the preparation of periodic management reports on the performance of the simplified risk management structure.</w:t>
            </w:r>
            <w:r>
              <w:rPr>
                <w:color w:val="000000" w:themeColor="text1"/>
                <w:lang w:val="en-US"/>
              </w:rPr>
              <w:t xml:space="preserve"> </w:t>
            </w:r>
            <w:r w:rsidRPr="00584C1D">
              <w:rPr>
                <w:color w:val="000000" w:themeColor="text1"/>
                <w:lang w:val="en-US"/>
              </w:rPr>
              <w:t>Specifically for electronic money issuers, there is a requirement for annual public disclosure, in a publicly accessible report, of the main characteristics of their liquidity risk management structure. The website address where the report is available must be published together with the financial statements</w:t>
            </w:r>
            <w:r>
              <w:rPr>
                <w:color w:val="000000" w:themeColor="text1"/>
                <w:lang w:val="en-US"/>
              </w:rPr>
              <w:t xml:space="preserve"> (Article 24-C).</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C33C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C33C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C33C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C33C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4C8206CC" w:rsidR="00D4323A" w:rsidRPr="00CF2E7C" w:rsidRDefault="00D4323A" w:rsidP="00CF2E7C">
            <w:pPr>
              <w:rPr>
                <w:rFonts w:ascii="Calibri" w:hAnsi="Calibri" w:cs="Calibri"/>
              </w:rPr>
            </w:pPr>
          </w:p>
        </w:tc>
        <w:tc>
          <w:tcPr>
            <w:tcW w:w="1505" w:type="dxa"/>
            <w:vAlign w:val="center"/>
          </w:tcPr>
          <w:p w14:paraId="242DA23C" w14:textId="67619954" w:rsidR="00D4323A" w:rsidRPr="00CF2E7C" w:rsidRDefault="005916D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334BA5DD" w:rsidR="00D4323A" w:rsidRPr="00CF2E7C" w:rsidRDefault="005916D7" w:rsidP="00CF2E7C">
            <w:pPr>
              <w:rPr>
                <w:rFonts w:ascii="Calibri" w:hAnsi="Calibri" w:cs="Calibri"/>
              </w:rPr>
            </w:pPr>
            <w:r>
              <w:rPr>
                <w:rFonts w:ascii="Calibri" w:hAnsi="Calibri" w:cs="Calibri"/>
              </w:rPr>
              <w:t>X</w:t>
            </w:r>
          </w:p>
        </w:tc>
        <w:tc>
          <w:tcPr>
            <w:tcW w:w="1505" w:type="dxa"/>
            <w:vAlign w:val="center"/>
          </w:tcPr>
          <w:p w14:paraId="5A98AF5A" w14:textId="7CAD1132"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09856BF0" w:rsidR="00D4323A" w:rsidRPr="00CF2E7C" w:rsidRDefault="0088280C"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5B5F7FD" w:rsidR="00D4323A" w:rsidRPr="00CF2E7C" w:rsidRDefault="005916D7"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5E8A9580" w:rsidR="00D4323A" w:rsidRPr="00CF2E7C" w:rsidRDefault="0088280C" w:rsidP="00CF2E7C">
            <w:pPr>
              <w:rPr>
                <w:rFonts w:ascii="Calibri" w:hAnsi="Calibri" w:cs="Calibri"/>
              </w:rPr>
            </w:pPr>
            <w:r>
              <w:rPr>
                <w:rFonts w:ascii="Calibri" w:hAnsi="Calibri" w:cs="Calibri"/>
              </w:rPr>
              <w:t>X</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826DC62" w:rsidR="00D4323A" w:rsidRPr="00CF2E7C" w:rsidRDefault="00D4323A" w:rsidP="00CF2E7C">
            <w:pPr>
              <w:rPr>
                <w:rFonts w:ascii="Calibri" w:hAnsi="Calibri" w:cs="Calibri"/>
              </w:rPr>
            </w:pPr>
          </w:p>
        </w:tc>
        <w:tc>
          <w:tcPr>
            <w:tcW w:w="1505" w:type="dxa"/>
            <w:vAlign w:val="center"/>
          </w:tcPr>
          <w:p w14:paraId="6709B18B" w14:textId="3642314D" w:rsidR="00D4323A" w:rsidRPr="00CF2E7C" w:rsidRDefault="005916D7"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FE570B5" w:rsidR="00D4323A" w:rsidRPr="00CF2E7C" w:rsidRDefault="005916D7"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D1588E1" w:rsidR="00D4323A" w:rsidRPr="00CF2E7C" w:rsidRDefault="005916D7" w:rsidP="00CF2E7C">
            <w:pPr>
              <w:rPr>
                <w:rFonts w:ascii="Calibri" w:hAnsi="Calibri" w:cs="Calibri"/>
              </w:rPr>
            </w:pPr>
            <w:r>
              <w:rPr>
                <w:rFonts w:ascii="Calibri" w:hAnsi="Calibri" w:cs="Calibri"/>
              </w:rPr>
              <w:t>X</w:t>
            </w:r>
          </w:p>
        </w:tc>
        <w:tc>
          <w:tcPr>
            <w:tcW w:w="1505" w:type="dxa"/>
            <w:vAlign w:val="center"/>
          </w:tcPr>
          <w:p w14:paraId="1BD9121A" w14:textId="7D637D49"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553FAA35" w:rsidR="00D4323A" w:rsidRPr="00CF2E7C" w:rsidRDefault="005916D7" w:rsidP="00CF2E7C">
            <w:pPr>
              <w:rPr>
                <w:rFonts w:ascii="Calibri" w:hAnsi="Calibri" w:cs="Calibri"/>
              </w:rPr>
            </w:pPr>
            <w:r>
              <w:rPr>
                <w:rFonts w:ascii="Calibri" w:hAnsi="Calibri" w:cs="Calibri"/>
              </w:rPr>
              <w:t>X</w:t>
            </w:r>
          </w:p>
        </w:tc>
        <w:tc>
          <w:tcPr>
            <w:tcW w:w="1505" w:type="dxa"/>
            <w:vAlign w:val="center"/>
          </w:tcPr>
          <w:p w14:paraId="7D2537CF" w14:textId="28232F5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33ADCE0D" w:rsidR="00D4323A" w:rsidRPr="00CF2E7C" w:rsidRDefault="005916D7" w:rsidP="00CF2E7C">
            <w:pPr>
              <w:rPr>
                <w:rFonts w:ascii="Calibri" w:hAnsi="Calibri" w:cs="Calibri"/>
              </w:rPr>
            </w:pPr>
            <w:r>
              <w:rPr>
                <w:rFonts w:ascii="Calibri" w:hAnsi="Calibri" w:cs="Calibri"/>
              </w:rPr>
              <w:t>X</w:t>
            </w:r>
          </w:p>
        </w:tc>
        <w:tc>
          <w:tcPr>
            <w:tcW w:w="1505" w:type="dxa"/>
            <w:vAlign w:val="center"/>
          </w:tcPr>
          <w:p w14:paraId="2CD4C703" w14:textId="1D8F29CE"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E8385C4" w:rsidR="00D4323A" w:rsidRPr="00CF2E7C" w:rsidRDefault="005916D7"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48CB5E86" w:rsidR="00D4323A" w:rsidRPr="00CF2E7C" w:rsidRDefault="005916D7" w:rsidP="00CF2E7C">
            <w:pPr>
              <w:rPr>
                <w:rFonts w:ascii="Calibri" w:hAnsi="Calibri" w:cs="Calibri"/>
              </w:rPr>
            </w:pPr>
            <w:r>
              <w:rPr>
                <w:rFonts w:ascii="Calibri" w:hAnsi="Calibri" w:cs="Calibri"/>
              </w:rPr>
              <w:t>X</w:t>
            </w: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2C270FA5" w:rsidR="00DD292A" w:rsidRPr="00CF2E7C" w:rsidRDefault="005916D7" w:rsidP="00CF2E7C">
            <w:pPr>
              <w:rPr>
                <w:rFonts w:ascii="Calibri" w:hAnsi="Calibri" w:cs="Calibri"/>
              </w:rPr>
            </w:pPr>
            <w:r>
              <w:rPr>
                <w:rFonts w:ascii="Calibri" w:hAnsi="Calibri" w:cs="Calibri"/>
              </w:rPr>
              <w:t>The policy tool applies to “</w:t>
            </w:r>
            <w:r w:rsidRPr="00CC33C4">
              <w:rPr>
                <w:rFonts w:ascii="Calibri" w:hAnsi="Calibri" w:cs="Calibri"/>
                <w:i/>
                <w:iCs/>
              </w:rPr>
              <w:t xml:space="preserve">financial institutions and other institutions authorized to operate by Brazilian Central Bank, part of the following groups: (i) Group I: singular credit cooperatives, (ii) Group II: non-banking institutions acting in credit concession and (iii) Group III: non-banking institutions acting in gold markets, foreign currency or as </w:t>
            </w:r>
            <w:r w:rsidR="00B55766" w:rsidRPr="00CC33C4">
              <w:rPr>
                <w:rFonts w:ascii="Calibri" w:hAnsi="Calibri" w:cs="Calibri"/>
                <w:i/>
                <w:iCs/>
              </w:rPr>
              <w:t>trustee</w:t>
            </w:r>
            <w:r w:rsidR="00B55766">
              <w:rPr>
                <w:rFonts w:ascii="Calibri" w:hAnsi="Calibri" w:cs="Calibri"/>
              </w:rPr>
              <w:t>” (Article 2).</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38BFA747" w:rsidR="00DD292A" w:rsidRPr="00CF2E7C" w:rsidRDefault="0088280C"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2B8129C2" w:rsidR="00DD292A" w:rsidRPr="00CF2E7C" w:rsidRDefault="0088280C"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4EFDA991" w:rsidR="00DD292A" w:rsidRPr="00CF2E7C" w:rsidRDefault="00B55766"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C6DF02A" w:rsidR="00DD292A" w:rsidRPr="00CF2E7C" w:rsidRDefault="00B55766"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109649DB" w:rsidR="00DD292A" w:rsidRPr="00CF2E7C" w:rsidRDefault="00B55766"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152BBE96" w:rsidR="00DD292A" w:rsidRPr="00CF2E7C" w:rsidRDefault="0088280C"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3A9BE596" w:rsidR="00DD292A" w:rsidRPr="00CF2E7C" w:rsidRDefault="00B55766" w:rsidP="00B55766">
            <w:pPr>
              <w:rPr>
                <w:rFonts w:ascii="Calibri" w:hAnsi="Calibri" w:cs="Calibri"/>
              </w:rPr>
            </w:pPr>
            <w:r>
              <w:rPr>
                <w:rFonts w:ascii="Calibri" w:hAnsi="Calibri" w:cs="Calibri"/>
              </w:rPr>
              <w:t>The policy tool applies to “</w:t>
            </w:r>
            <w:r w:rsidRPr="00D76FED">
              <w:rPr>
                <w:rFonts w:ascii="Calibri" w:hAnsi="Calibri" w:cs="Calibri"/>
                <w:i/>
                <w:iCs/>
              </w:rPr>
              <w:t>financial institutions and other institutions authorized to operate by Brazilian Central Bank, part of the following groups: (i) Group I: singular credit cooperatives, (ii) Group II: non-banking institutions acting in credit concession and (iii) Group III: non-banking institutions acting in gold markets, foreign currency or as trustee</w:t>
            </w:r>
            <w:r>
              <w:rPr>
                <w:rFonts w:ascii="Calibri" w:hAnsi="Calibri" w:cs="Calibri"/>
              </w:rPr>
              <w:t>” (Article 2).</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lastRenderedPageBreak/>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FF2AD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09C386C2" w:rsidR="00DD292A" w:rsidRPr="00CF2E7C" w:rsidRDefault="006871F3" w:rsidP="00CF2E7C">
            <w:pPr>
              <w:rPr>
                <w:rFonts w:ascii="Calibri" w:hAnsi="Calibri" w:cs="Calibri"/>
              </w:rPr>
            </w:pPr>
            <w:r w:rsidRPr="006871F3">
              <w:rPr>
                <w:rFonts w:ascii="Calibri" w:hAnsi="Calibri" w:cs="Calibri"/>
              </w:rPr>
              <w:t>Only institutions that meet specific criteria (such as being classified in Segment 5 (S5) and having a simplified risk profile) may choose to adopt this methodology.</w:t>
            </w:r>
            <w:r>
              <w:rPr>
                <w:rFonts w:ascii="Calibri" w:hAnsi="Calibri" w:cs="Calibri"/>
              </w:rPr>
              <w:t xml:space="preserve"> </w:t>
            </w:r>
            <w:r w:rsidR="00AA54B6">
              <w:rPr>
                <w:rFonts w:ascii="Calibri" w:hAnsi="Calibri" w:cs="Calibri"/>
              </w:rPr>
              <w:t>T</w:t>
            </w:r>
            <w:r w:rsidR="00D53FC5" w:rsidRPr="00D53FC5">
              <w:rPr>
                <w:rFonts w:ascii="Calibri" w:hAnsi="Calibri" w:cs="Calibri"/>
              </w:rPr>
              <w:t xml:space="preserve">he resolution provides a </w:t>
            </w:r>
            <w:r w:rsidR="00D53FC5" w:rsidRPr="00D53FC5">
              <w:rPr>
                <w:rFonts w:ascii="Calibri" w:hAnsi="Calibri" w:cs="Calibri"/>
                <w:b/>
                <w:bCs/>
              </w:rPr>
              <w:t>voluntary</w:t>
            </w:r>
            <w:r w:rsidR="00D53FC5" w:rsidRPr="00D53FC5">
              <w:rPr>
                <w:rFonts w:ascii="Calibri" w:hAnsi="Calibri" w:cs="Calibri"/>
              </w:rPr>
              <w:t xml:space="preserve"> framework that eligible institutions can </w:t>
            </w:r>
            <w:r w:rsidR="00D53FC5" w:rsidRPr="00D53FC5">
              <w:rPr>
                <w:rFonts w:ascii="Calibri" w:hAnsi="Calibri" w:cs="Calibri"/>
                <w:b/>
                <w:bCs/>
              </w:rPr>
              <w:t>choose</w:t>
            </w:r>
            <w:r w:rsidR="00D53FC5" w:rsidRPr="00D53FC5">
              <w:rPr>
                <w:rFonts w:ascii="Calibri" w:hAnsi="Calibri" w:cs="Calibri"/>
              </w:rPr>
              <w:t xml:space="preserve"> to adopt. Therefore, there are no threshold criteria that trigger mandatory compliance.</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2642999" w:rsidR="00DD3B33" w:rsidRPr="00CF2E7C" w:rsidRDefault="00D53FC5"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0A5E76FE" w:rsidR="00DD3B33" w:rsidRPr="00CF2E7C" w:rsidRDefault="006871F3"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5E5B944" w:rsidR="00DD3B33" w:rsidRPr="00CF2E7C" w:rsidRDefault="006871F3" w:rsidP="00CF2E7C">
            <w:pPr>
              <w:rPr>
                <w:rFonts w:ascii="Calibri" w:hAnsi="Calibri" w:cs="Calibri"/>
              </w:rPr>
            </w:pPr>
            <w:r w:rsidRPr="006871F3">
              <w:rPr>
                <w:rFonts w:ascii="Calibri" w:hAnsi="Calibri" w:cs="Calibri"/>
              </w:rPr>
              <w:t>If an institution withdraws from the methodology or fails to meet the requirements, it is temporarily barred from re-adopting the simplified approach (Art. 17 and Art. 18), but the regulation itself does not mandate the use of the simplified methodology.</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08C3C44C" w:rsidR="00DD292A" w:rsidRPr="00CF2E7C" w:rsidRDefault="00D53FC5"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1FF3607C" w:rsidR="00DD292A" w:rsidRPr="00CF2E7C" w:rsidRDefault="00965435" w:rsidP="00965435">
            <w:pPr>
              <w:rPr>
                <w:rFonts w:ascii="Calibri" w:hAnsi="Calibri" w:cs="Calibri"/>
              </w:rPr>
            </w:pPr>
            <w:r w:rsidRPr="00965435">
              <w:rPr>
                <w:rFonts w:ascii="Calibri" w:hAnsi="Calibri" w:cs="Calibri"/>
                <w:lang w:val="en-US"/>
              </w:rPr>
              <w:t>The text of Resolution No. 4,606/2017 has been subject to multiple amendments and improvements over the years through new resolutions issued by the National Monetary Council (CMN) and the Central Bank of Brazil</w:t>
            </w:r>
            <w:r>
              <w:rPr>
                <w:rFonts w:ascii="Calibri" w:hAnsi="Calibri" w:cs="Calibri"/>
                <w:lang w:val="en-US"/>
              </w:rPr>
              <w:t xml:space="preserve">: (i) </w:t>
            </w:r>
            <w:r w:rsidRPr="00965435">
              <w:rPr>
                <w:rFonts w:ascii="Calibri" w:hAnsi="Calibri" w:cs="Calibri"/>
                <w:lang w:val="en-US"/>
              </w:rPr>
              <w:t>CMN Resolution No. 5,049/2022: Amended provisions of Resolution No. 4,606/2017, adjusting eligibility criteria, definitions, and procedures for PR calculation, and updating requirements for prudential conglomerates and investment funds</w:t>
            </w:r>
            <w:r>
              <w:rPr>
                <w:rFonts w:ascii="Calibri" w:hAnsi="Calibri" w:cs="Calibri"/>
                <w:lang w:val="en-US"/>
              </w:rPr>
              <w:t xml:space="preserve">, (ii) </w:t>
            </w:r>
            <w:r w:rsidRPr="00965435">
              <w:rPr>
                <w:rFonts w:ascii="Calibri" w:hAnsi="Calibri" w:cs="Calibri"/>
                <w:lang w:val="en-US"/>
              </w:rPr>
              <w:t>CMN Resolution No. 5,076/2023: Introduced and detailed specific requirements for liquidity and operational risk management, especially for institutions involved in payment services</w:t>
            </w:r>
            <w:r>
              <w:rPr>
                <w:rFonts w:ascii="Calibri" w:hAnsi="Calibri" w:cs="Calibri"/>
                <w:lang w:val="en-US"/>
              </w:rPr>
              <w:t xml:space="preserve"> and (iii) </w:t>
            </w:r>
            <w:r w:rsidRPr="00965435">
              <w:rPr>
                <w:rFonts w:ascii="Calibri" w:hAnsi="Calibri" w:cs="Calibri"/>
                <w:lang w:val="en-US"/>
              </w:rPr>
              <w:t>CMN Resolutions No. 5,194/2024 and No. 5,199/2024: Established new wording and transitional rules for PR calculation, including adjustments to align with the latest accounting and prudential standards.</w:t>
            </w:r>
            <w:r>
              <w:rPr>
                <w:rFonts w:ascii="Calibri" w:hAnsi="Calibri" w:cs="Calibri"/>
                <w:lang w:val="en-US"/>
              </w:rPr>
              <w:t xml:space="preserve"> </w:t>
            </w:r>
            <w:r w:rsidRPr="00965435">
              <w:rPr>
                <w:rFonts w:ascii="Calibri" w:hAnsi="Calibri" w:cs="Calibri"/>
                <w:lang w:val="en-US"/>
              </w:rPr>
              <w:t>These periodic revisions show that the policy tool is being monitored, adjusted, and kept in line with the evolution of the financial system and supervisory practices.</w:t>
            </w:r>
            <w:r>
              <w:rPr>
                <w:rFonts w:ascii="Calibri" w:hAnsi="Calibri" w:cs="Calibri"/>
                <w:lang w:val="en-US"/>
              </w:rPr>
              <w:t xml:space="preserve"> </w:t>
            </w:r>
            <w:r w:rsidRPr="00965435">
              <w:rPr>
                <w:rFonts w:ascii="Calibri" w:hAnsi="Calibri" w:cs="Calibri"/>
                <w:lang w:val="en-US"/>
              </w:rPr>
              <w:t>Resolution No. 4,606/2017 references and integrates with other financial system regulations, such as Resolutions No. 4,557/2017 (risk management), No. 4,553/2017 (prudential segmentation), and No. 4,192/2013 (PR calculation), among others. This integration demonstrates that the policy tool is not isolated but is part of a broader regulatory framework, being operationalized alongside other normative initiatives.</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2FB218AB" w:rsidR="00DD292A" w:rsidRPr="00CF2E7C" w:rsidRDefault="00633EB4"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Risk management and </w:t>
            </w:r>
            <w:r w:rsidRPr="00CF2E7C">
              <w:rPr>
                <w:rFonts w:ascii="Calibri" w:eastAsia="Times New Roman" w:hAnsi="Calibri" w:cs="Calibri"/>
                <w:b/>
                <w:color w:val="7030A0"/>
                <w:kern w:val="0"/>
                <w:lang w:eastAsia="en-GB"/>
                <w14:ligatures w14:val="none"/>
              </w:rPr>
              <w:t>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893590D" w:rsidR="00410853" w:rsidRPr="00CF2E7C" w:rsidRDefault="00CB04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4CE87789" w:rsidR="00410853" w:rsidRPr="00CF2E7C" w:rsidRDefault="00CB04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0DE744F0" w:rsidR="00410853" w:rsidRPr="00CF2E7C" w:rsidRDefault="00633EB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6F1D38F" w14:textId="7DF50519" w:rsidR="00CB0460" w:rsidRPr="00CB0460" w:rsidRDefault="00CB0460" w:rsidP="00CB0460">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Risk management and governance of climate risks: The </w:t>
            </w:r>
            <w:r w:rsidRPr="00CB0460">
              <w:rPr>
                <w:rFonts w:ascii="Calibri" w:eastAsia="Times New Roman" w:hAnsi="Calibri" w:cs="Calibri"/>
                <w:kern w:val="0"/>
                <w:lang w:val="en-US" w:eastAsia="en-GB"/>
                <w14:ligatures w14:val="none"/>
              </w:rPr>
              <w:t>Resolution requires institutions to identify, measure, evaluate, monitor, report, control, and mitigate social, environmental, and climate risks (see Art. 20, Art. 27-A, 27-B, 27-C, and 27-D). This includes both transition and physical climate risks, with examples such as regulatory changes, technological innovation, and extreme weather events.</w:t>
            </w:r>
            <w:r>
              <w:rPr>
                <w:rFonts w:ascii="Calibri" w:eastAsia="Times New Roman" w:hAnsi="Calibri" w:cs="Calibri"/>
                <w:kern w:val="0"/>
                <w:lang w:val="en-US" w:eastAsia="en-GB"/>
                <w14:ligatures w14:val="none"/>
              </w:rPr>
              <w:t xml:space="preserve"> </w:t>
            </w:r>
            <w:r w:rsidRPr="00CB0460">
              <w:rPr>
                <w:rFonts w:ascii="Calibri" w:eastAsia="Times New Roman" w:hAnsi="Calibri" w:cs="Calibri"/>
                <w:kern w:val="0"/>
                <w:lang w:val="en-US" w:eastAsia="en-GB"/>
                <w14:ligatures w14:val="none"/>
              </w:rPr>
              <w:t>The policy mandates the designation of a director responsible for the risk management structure and assigns clear responsibilities to the board of directors for approving, reviewing, and ensuring compliance with risk management policies (Art. 28, 29).</w:t>
            </w:r>
          </w:p>
          <w:p w14:paraId="2D7F275E" w14:textId="5A781436" w:rsidR="00F80FF4" w:rsidRDefault="00CB0460" w:rsidP="00CB0460">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Adjusted capital and liquidity requirements: </w:t>
            </w:r>
            <w:r w:rsidRPr="00CB0460">
              <w:rPr>
                <w:rFonts w:ascii="Calibri" w:eastAsia="Times New Roman" w:hAnsi="Calibri" w:cs="Calibri"/>
                <w:kern w:val="0"/>
                <w:lang w:val="en-US" w:eastAsia="en-GB"/>
                <w14:ligatures w14:val="none"/>
              </w:rPr>
              <w:t>The Resolution sets out a simplified methodology for calculating minimum capital requirements (</w:t>
            </w:r>
            <w:proofErr w:type="spellStart"/>
            <w:r w:rsidRPr="00CB0460">
              <w:rPr>
                <w:rFonts w:ascii="Calibri" w:eastAsia="Times New Roman" w:hAnsi="Calibri" w:cs="Calibri"/>
                <w:kern w:val="0"/>
                <w:lang w:val="en-US" w:eastAsia="en-GB"/>
                <w14:ligatures w14:val="none"/>
              </w:rPr>
              <w:t>Patrimônio</w:t>
            </w:r>
            <w:proofErr w:type="spellEnd"/>
            <w:r w:rsidRPr="00CB0460">
              <w:rPr>
                <w:rFonts w:ascii="Calibri" w:eastAsia="Times New Roman" w:hAnsi="Calibri" w:cs="Calibri"/>
                <w:kern w:val="0"/>
                <w:lang w:val="en-US" w:eastAsia="en-GB"/>
                <w14:ligatures w14:val="none"/>
              </w:rPr>
              <w:t xml:space="preserve"> de </w:t>
            </w:r>
            <w:proofErr w:type="spellStart"/>
            <w:r w:rsidRPr="00CB0460">
              <w:rPr>
                <w:rFonts w:ascii="Calibri" w:eastAsia="Times New Roman" w:hAnsi="Calibri" w:cs="Calibri"/>
                <w:kern w:val="0"/>
                <w:lang w:val="en-US" w:eastAsia="en-GB"/>
                <w14:ligatures w14:val="none"/>
              </w:rPr>
              <w:t>Referência</w:t>
            </w:r>
            <w:proofErr w:type="spellEnd"/>
            <w:r w:rsidRPr="00CB0460">
              <w:rPr>
                <w:rFonts w:ascii="Calibri" w:eastAsia="Times New Roman" w:hAnsi="Calibri" w:cs="Calibri"/>
                <w:kern w:val="0"/>
                <w:lang w:val="en-US" w:eastAsia="en-GB"/>
                <w14:ligatures w14:val="none"/>
              </w:rPr>
              <w:t xml:space="preserve"> </w:t>
            </w:r>
            <w:proofErr w:type="spellStart"/>
            <w:r w:rsidRPr="00CB0460">
              <w:rPr>
                <w:rFonts w:ascii="Calibri" w:eastAsia="Times New Roman" w:hAnsi="Calibri" w:cs="Calibri"/>
                <w:kern w:val="0"/>
                <w:lang w:val="en-US" w:eastAsia="en-GB"/>
                <w14:ligatures w14:val="none"/>
              </w:rPr>
              <w:t>Simplificado</w:t>
            </w:r>
            <w:proofErr w:type="spellEnd"/>
            <w:r w:rsidRPr="00CB0460">
              <w:rPr>
                <w:rFonts w:ascii="Calibri" w:eastAsia="Times New Roman" w:hAnsi="Calibri" w:cs="Calibri"/>
                <w:kern w:val="0"/>
                <w:lang w:val="en-US" w:eastAsia="en-GB"/>
                <w14:ligatures w14:val="none"/>
              </w:rPr>
              <w:t>, PR) for eligible institutions, based on risk-weighted assets (RWA). While the capital requirements are not exclusively for climate-related risks, the inclusion of climate risk in the overall risk management framework means that capital adequacy must reflect exposures to such risks (Art. 12, Art. 20, Art. 27-C, 27-D).</w:t>
            </w:r>
            <w:r>
              <w:rPr>
                <w:rFonts w:ascii="Calibri" w:eastAsia="Times New Roman" w:hAnsi="Calibri" w:cs="Calibri"/>
                <w:kern w:val="0"/>
                <w:lang w:val="en-US" w:eastAsia="en-GB"/>
                <w14:ligatures w14:val="none"/>
              </w:rPr>
              <w:t xml:space="preserve"> </w:t>
            </w:r>
            <w:r w:rsidRPr="00CB0460">
              <w:rPr>
                <w:rFonts w:ascii="Calibri" w:eastAsia="Times New Roman" w:hAnsi="Calibri" w:cs="Calibri"/>
                <w:kern w:val="0"/>
                <w:lang w:val="en-US" w:eastAsia="en-GB"/>
                <w14:ligatures w14:val="none"/>
              </w:rPr>
              <w:t xml:space="preserve">The policy also requires institutions, especially those involved in payment activities, to implement processes for identifying, evaluating, monitoring, and controlling liquidity risk, including in the context of climate-related events that could affect liquidity (Art. 24-A, 24-B). </w:t>
            </w:r>
          </w:p>
          <w:p w14:paraId="127308B5" w14:textId="2FDB350D" w:rsidR="00410853" w:rsidRPr="00CF2E7C" w:rsidRDefault="00F80FF4" w:rsidP="00CB0460">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Others: </w:t>
            </w:r>
            <w:r w:rsidRPr="00F80FF4">
              <w:rPr>
                <w:rFonts w:ascii="Calibri" w:eastAsia="Times New Roman" w:hAnsi="Calibri" w:cs="Calibri"/>
                <w:kern w:val="0"/>
                <w:lang w:val="en-US" w:eastAsia="en-GB"/>
                <w14:ligatures w14:val="none"/>
              </w:rPr>
              <w:t>The Resolution’s main objective is to ensure that smaller, less complex financial institutions (Segment 5) have a proportionate but robust risk management and governance framework covering all material risks, including but not limited to climate risks.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525F55B" w:rsidR="00F632FB" w:rsidRPr="00CF2E7C" w:rsidRDefault="00A947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09F645DC" w:rsidR="00F632FB" w:rsidRPr="00CF2E7C" w:rsidRDefault="00A947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31C04709" w:rsidR="00F632FB" w:rsidRPr="00CF2E7C" w:rsidRDefault="00A947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313DE5F0" w:rsidR="00F632FB" w:rsidRPr="00CF2E7C" w:rsidRDefault="00A947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75289898" w:rsidR="008C4722" w:rsidRPr="00CF2E7C" w:rsidRDefault="00DC71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172F708" w:rsidR="008C4722" w:rsidRPr="00CF2E7C" w:rsidRDefault="00DC71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48325DBE" w:rsidR="008C4722" w:rsidRPr="00CF2E7C" w:rsidRDefault="00A947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0A3270B1" w:rsidR="008C4722" w:rsidRPr="00CF2E7C" w:rsidRDefault="00A9472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2896230C" w:rsidR="008C4722" w:rsidRPr="00CF2E7C" w:rsidRDefault="00E3521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 [see below]</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7934BD1" w14:textId="77777777" w:rsidR="008C4722" w:rsidRDefault="00E35216" w:rsidP="00E35216">
            <w:pPr>
              <w:textAlignment w:val="baseline"/>
              <w:rPr>
                <w:rFonts w:ascii="Calibri" w:eastAsia="Times New Roman" w:hAnsi="Calibri" w:cs="Calibri"/>
                <w:kern w:val="0"/>
                <w:lang w:eastAsia="en-GB"/>
                <w14:ligatures w14:val="none"/>
              </w:rPr>
            </w:pPr>
            <w:r w:rsidRPr="00E35216">
              <w:rPr>
                <w:rFonts w:ascii="Calibri" w:eastAsia="Times New Roman" w:hAnsi="Calibri" w:cs="Calibri"/>
                <w:kern w:val="0"/>
                <w:lang w:eastAsia="en-GB"/>
                <w14:ligatures w14:val="none"/>
              </w:rPr>
              <w:t>Other Risks</w:t>
            </w:r>
            <w:r>
              <w:rPr>
                <w:rFonts w:ascii="Calibri" w:eastAsia="Times New Roman" w:hAnsi="Calibri" w:cs="Calibri"/>
                <w:kern w:val="0"/>
                <w:lang w:eastAsia="en-GB"/>
                <w14:ligatures w14:val="none"/>
              </w:rPr>
              <w:t xml:space="preserve">: </w:t>
            </w:r>
            <w:r w:rsidRPr="00E35216">
              <w:rPr>
                <w:rFonts w:ascii="Calibri" w:eastAsia="Times New Roman" w:hAnsi="Calibri" w:cs="Calibri"/>
                <w:kern w:val="0"/>
                <w:lang w:eastAsia="en-GB"/>
                <w14:ligatures w14:val="none"/>
              </w:rPr>
              <w:t>Reputational Risk</w:t>
            </w:r>
            <w:r>
              <w:rPr>
                <w:rFonts w:ascii="Calibri" w:eastAsia="Times New Roman" w:hAnsi="Calibri" w:cs="Calibri"/>
                <w:kern w:val="0"/>
                <w:lang w:eastAsia="en-GB"/>
                <w14:ligatures w14:val="none"/>
              </w:rPr>
              <w:t xml:space="preserve"> (b</w:t>
            </w:r>
            <w:r w:rsidRPr="00E35216">
              <w:rPr>
                <w:rFonts w:ascii="Calibri" w:eastAsia="Times New Roman" w:hAnsi="Calibri" w:cs="Calibri"/>
                <w:kern w:val="0"/>
                <w:lang w:eastAsia="en-GB"/>
                <w14:ligatures w14:val="none"/>
              </w:rPr>
              <w:t>oth the social and environmental risk definitions include reputational impacts, such as activities that, while legal, may negatively affect the institution’s reputation due to being perceived as harmful to common interests or the environment</w:t>
            </w:r>
            <w:r>
              <w:rPr>
                <w:rFonts w:ascii="Calibri" w:eastAsia="Times New Roman" w:hAnsi="Calibri" w:cs="Calibri"/>
                <w:kern w:val="0"/>
                <w:lang w:eastAsia="en-GB"/>
                <w14:ligatures w14:val="none"/>
              </w:rPr>
              <w:t xml:space="preserve">, as per Articles </w:t>
            </w:r>
            <w:r w:rsidR="005A517F">
              <w:rPr>
                <w:rFonts w:ascii="Calibri" w:eastAsia="Times New Roman" w:hAnsi="Calibri" w:cs="Calibri"/>
                <w:kern w:val="0"/>
                <w:lang w:eastAsia="en-GB"/>
                <w14:ligatures w14:val="none"/>
              </w:rPr>
              <w:t>27-A and 27-B) and legal and regulatory risks (i</w:t>
            </w:r>
            <w:r w:rsidR="005A517F" w:rsidRPr="005A517F">
              <w:rPr>
                <w:rFonts w:ascii="Calibri" w:eastAsia="Times New Roman" w:hAnsi="Calibri" w:cs="Calibri"/>
                <w:kern w:val="0"/>
                <w:lang w:eastAsia="en-GB"/>
                <w14:ligatures w14:val="none"/>
              </w:rPr>
              <w:t>nstitutions to consider risks arising from changes in laws, regulations, or government actions related to climate, environment, and social issues</w:t>
            </w:r>
            <w:r w:rsidR="005A517F">
              <w:rPr>
                <w:rFonts w:ascii="Calibri" w:eastAsia="Times New Roman" w:hAnsi="Calibri" w:cs="Calibri"/>
                <w:kern w:val="0"/>
                <w:lang w:eastAsia="en-GB"/>
                <w14:ligatures w14:val="none"/>
              </w:rPr>
              <w:t xml:space="preserve">, as per Article </w:t>
            </w:r>
            <w:r w:rsidR="005A517F" w:rsidRPr="005A517F">
              <w:rPr>
                <w:rFonts w:ascii="Calibri" w:eastAsia="Times New Roman" w:hAnsi="Calibri" w:cs="Calibri"/>
                <w:kern w:val="0"/>
                <w:lang w:eastAsia="en-GB"/>
                <w14:ligatures w14:val="none"/>
              </w:rPr>
              <w:t>27-D, III).</w:t>
            </w:r>
            <w:r w:rsidR="00FA27E2">
              <w:rPr>
                <w:rFonts w:ascii="Calibri" w:eastAsia="Times New Roman" w:hAnsi="Calibri" w:cs="Calibri"/>
                <w:kern w:val="0"/>
                <w:lang w:eastAsia="en-GB"/>
                <w14:ligatures w14:val="none"/>
              </w:rPr>
              <w:t xml:space="preserve"> </w:t>
            </w:r>
          </w:p>
          <w:p w14:paraId="36E3930F" w14:textId="77777777" w:rsidR="00FA27E2" w:rsidRDefault="00FA27E2" w:rsidP="00E35216">
            <w:pPr>
              <w:textAlignment w:val="baseline"/>
              <w:rPr>
                <w:rFonts w:ascii="Calibri" w:eastAsia="Times New Roman" w:hAnsi="Calibri" w:cs="Calibri"/>
                <w:kern w:val="0"/>
                <w:lang w:eastAsia="en-GB"/>
                <w14:ligatures w14:val="none"/>
              </w:rPr>
            </w:pPr>
          </w:p>
          <w:p w14:paraId="39FC6AFA" w14:textId="194528F4" w:rsidR="00FA27E2" w:rsidRPr="00CF2E7C" w:rsidRDefault="00FA27E2" w:rsidP="00FA27E2">
            <w:pPr>
              <w:textAlignment w:val="baseline"/>
              <w:rPr>
                <w:rFonts w:ascii="Calibri" w:eastAsia="Times New Roman" w:hAnsi="Calibri" w:cs="Calibri"/>
                <w:kern w:val="0"/>
                <w:lang w:eastAsia="en-GB"/>
                <w14:ligatures w14:val="none"/>
              </w:rPr>
            </w:pPr>
            <w:r w:rsidRPr="00FA27E2">
              <w:rPr>
                <w:rFonts w:ascii="Calibri" w:eastAsia="Times New Roman" w:hAnsi="Calibri" w:cs="Calibri"/>
                <w:kern w:val="0"/>
                <w:lang w:eastAsia="en-GB"/>
                <w14:ligatures w14:val="none"/>
              </w:rPr>
              <w:t>The Resolution explicitly addresses climate-related risks, requiring institutions to</w:t>
            </w:r>
            <w:r>
              <w:rPr>
                <w:rFonts w:ascii="Calibri" w:eastAsia="Times New Roman" w:hAnsi="Calibri" w:cs="Calibri"/>
                <w:kern w:val="0"/>
                <w:lang w:eastAsia="en-GB"/>
                <w14:ligatures w14:val="none"/>
              </w:rPr>
              <w:t xml:space="preserve"> (i) i</w:t>
            </w:r>
            <w:r w:rsidRPr="00FA27E2">
              <w:rPr>
                <w:rFonts w:ascii="Calibri" w:eastAsia="Times New Roman" w:hAnsi="Calibri" w:cs="Calibri"/>
                <w:kern w:val="0"/>
                <w:lang w:eastAsia="en-GB"/>
                <w14:ligatures w14:val="none"/>
              </w:rPr>
              <w:t>dentify and monitor both transition and physical climate risks (Art. 20, V; Art. 27-C)</w:t>
            </w:r>
            <w:r>
              <w:rPr>
                <w:rFonts w:ascii="Calibri" w:eastAsia="Times New Roman" w:hAnsi="Calibri" w:cs="Calibri"/>
                <w:kern w:val="0"/>
                <w:lang w:eastAsia="en-GB"/>
                <w14:ligatures w14:val="none"/>
              </w:rPr>
              <w:t>, (ii) a</w:t>
            </w:r>
            <w:r w:rsidRPr="00FA27E2">
              <w:rPr>
                <w:rFonts w:ascii="Calibri" w:eastAsia="Times New Roman" w:hAnsi="Calibri" w:cs="Calibri"/>
                <w:kern w:val="0"/>
                <w:lang w:eastAsia="en-GB"/>
                <w14:ligatures w14:val="none"/>
              </w:rPr>
              <w:t>ssess the impact of these risks on their operations, products, services, activities, and processes, as well as on the activities of counterparties, controlled entities, and relevant suppliers (Art. 27-D, I)</w:t>
            </w:r>
            <w:r>
              <w:rPr>
                <w:rFonts w:ascii="Calibri" w:eastAsia="Times New Roman" w:hAnsi="Calibri" w:cs="Calibri"/>
                <w:kern w:val="0"/>
                <w:lang w:eastAsia="en-GB"/>
                <w14:ligatures w14:val="none"/>
              </w:rPr>
              <w:t>, (iii) c</w:t>
            </w:r>
            <w:r w:rsidRPr="00FA27E2">
              <w:rPr>
                <w:rFonts w:ascii="Calibri" w:eastAsia="Times New Roman" w:hAnsi="Calibri" w:cs="Calibri"/>
                <w:kern w:val="0"/>
                <w:lang w:eastAsia="en-GB"/>
                <w14:ligatures w14:val="none"/>
              </w:rPr>
              <w:t>lassify and measure these risks using consistent and verifiable criteria and information, including public sources (Art. 27-D, II)</w:t>
            </w:r>
            <w:r>
              <w:rPr>
                <w:rFonts w:ascii="Calibri" w:eastAsia="Times New Roman" w:hAnsi="Calibri" w:cs="Calibri"/>
                <w:kern w:val="0"/>
                <w:lang w:eastAsia="en-GB"/>
                <w14:ligatures w14:val="none"/>
              </w:rPr>
              <w:t xml:space="preserve"> and (iv) a</w:t>
            </w:r>
            <w:r w:rsidRPr="00FA27E2">
              <w:rPr>
                <w:rFonts w:ascii="Calibri" w:eastAsia="Times New Roman" w:hAnsi="Calibri" w:cs="Calibri"/>
                <w:kern w:val="0"/>
                <w:lang w:eastAsia="en-GB"/>
                <w14:ligatures w14:val="none"/>
              </w:rPr>
              <w:t>dapt their risk management processes to political, legal, regulatory, technological, or market changes that may significantly affect the institution (Art. 27-D, III).</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4727AD4B" w:rsidR="008C4722" w:rsidRPr="00CF2E7C" w:rsidRDefault="001E45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20B02155" w:rsidR="008C4722" w:rsidRPr="00CF2E7C" w:rsidRDefault="007B50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10431513" w:rsidR="008C4722" w:rsidRPr="00CF2E7C" w:rsidRDefault="001E45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1FFB6BA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C3F46E6" w14:textId="078EF07E" w:rsidR="008C4722" w:rsidRDefault="001E45ED" w:rsidP="001E45E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Pillar 1: t</w:t>
            </w:r>
            <w:r w:rsidRPr="001E45ED">
              <w:rPr>
                <w:rFonts w:ascii="Calibri" w:eastAsia="Times New Roman" w:hAnsi="Calibri" w:cs="Calibri"/>
                <w:kern w:val="0"/>
                <w:lang w:eastAsia="en-GB"/>
                <w14:ligatures w14:val="none"/>
              </w:rPr>
              <w:t>he Resolution establishes a simplified methodology for calculating minimum capital requirements (</w:t>
            </w:r>
            <w:proofErr w:type="spellStart"/>
            <w:r w:rsidRPr="001E45ED">
              <w:rPr>
                <w:rFonts w:ascii="Calibri" w:eastAsia="Times New Roman" w:hAnsi="Calibri" w:cs="Calibri"/>
                <w:kern w:val="0"/>
                <w:lang w:eastAsia="en-GB"/>
                <w14:ligatures w14:val="none"/>
              </w:rPr>
              <w:t>Patrimônio</w:t>
            </w:r>
            <w:proofErr w:type="spellEnd"/>
            <w:r w:rsidRPr="001E45ED">
              <w:rPr>
                <w:rFonts w:ascii="Calibri" w:eastAsia="Times New Roman" w:hAnsi="Calibri" w:cs="Calibri"/>
                <w:kern w:val="0"/>
                <w:lang w:eastAsia="en-GB"/>
                <w14:ligatures w14:val="none"/>
              </w:rPr>
              <w:t xml:space="preserve"> de </w:t>
            </w:r>
            <w:proofErr w:type="spellStart"/>
            <w:r w:rsidRPr="001E45ED">
              <w:rPr>
                <w:rFonts w:ascii="Calibri" w:eastAsia="Times New Roman" w:hAnsi="Calibri" w:cs="Calibri"/>
                <w:kern w:val="0"/>
                <w:lang w:eastAsia="en-GB"/>
                <w14:ligatures w14:val="none"/>
              </w:rPr>
              <w:t>Referência</w:t>
            </w:r>
            <w:proofErr w:type="spellEnd"/>
            <w:r w:rsidRPr="001E45ED">
              <w:rPr>
                <w:rFonts w:ascii="Calibri" w:eastAsia="Times New Roman" w:hAnsi="Calibri" w:cs="Calibri"/>
                <w:kern w:val="0"/>
                <w:lang w:eastAsia="en-GB"/>
                <w14:ligatures w14:val="none"/>
              </w:rPr>
              <w:t xml:space="preserve"> </w:t>
            </w:r>
            <w:proofErr w:type="spellStart"/>
            <w:r w:rsidRPr="001E45ED">
              <w:rPr>
                <w:rFonts w:ascii="Calibri" w:eastAsia="Times New Roman" w:hAnsi="Calibri" w:cs="Calibri"/>
                <w:kern w:val="0"/>
                <w:lang w:eastAsia="en-GB"/>
                <w14:ligatures w14:val="none"/>
              </w:rPr>
              <w:t>Simplificado</w:t>
            </w:r>
            <w:proofErr w:type="spellEnd"/>
            <w:r w:rsidRPr="001E45ED">
              <w:rPr>
                <w:rFonts w:ascii="Calibri" w:eastAsia="Times New Roman" w:hAnsi="Calibri" w:cs="Calibri"/>
                <w:kern w:val="0"/>
                <w:lang w:eastAsia="en-GB"/>
                <w14:ligatures w14:val="none"/>
              </w:rPr>
              <w:t xml:space="preserve"> – PR) for S5 entities, including the calculation of risk-weighted assets (RWA) (Art. 8, Art. 11, Art. 12).</w:t>
            </w:r>
            <w:r>
              <w:rPr>
                <w:rFonts w:ascii="Calibri" w:eastAsia="Times New Roman" w:hAnsi="Calibri" w:cs="Calibri"/>
                <w:kern w:val="0"/>
                <w:lang w:eastAsia="en-GB"/>
                <w14:ligatures w14:val="none"/>
              </w:rPr>
              <w:t xml:space="preserve"> </w:t>
            </w:r>
            <w:r w:rsidRPr="001E45ED">
              <w:rPr>
                <w:rFonts w:ascii="Calibri" w:eastAsia="Times New Roman" w:hAnsi="Calibri" w:cs="Calibri"/>
                <w:kern w:val="0"/>
                <w:lang w:eastAsia="en-GB"/>
                <w14:ligatures w14:val="none"/>
              </w:rPr>
              <w:t>Although climate-related risks are not yet directly integrated into the capital calculation formula, the requirement to identify, assess, and manage these risks (Art. 20, Art. 27-C, Art. 27-D) lays the groundwork for their future incorporation into capital requirements, in line with evolving Basel guidance.</w:t>
            </w:r>
          </w:p>
          <w:p w14:paraId="6F0D36DC" w14:textId="77777777" w:rsidR="001E45ED" w:rsidRDefault="001E45ED" w:rsidP="001E45E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Pillar 2: t</w:t>
            </w:r>
            <w:r w:rsidRPr="001E45ED">
              <w:rPr>
                <w:rFonts w:ascii="Calibri" w:eastAsia="Times New Roman" w:hAnsi="Calibri" w:cs="Calibri"/>
                <w:kern w:val="0"/>
                <w:lang w:eastAsia="en-GB"/>
                <w14:ligatures w14:val="none"/>
              </w:rPr>
              <w:t>he Resolution mandates a continuous, proportional, and documented risk management structure that must explicitly address climate-related risks (Art. 19, Art. 20, Art. 27-C, Art. 27-D).</w:t>
            </w:r>
            <w:r>
              <w:rPr>
                <w:rFonts w:ascii="Calibri" w:eastAsia="Times New Roman" w:hAnsi="Calibri" w:cs="Calibri"/>
                <w:kern w:val="0"/>
                <w:lang w:eastAsia="en-GB"/>
                <w14:ligatures w14:val="none"/>
              </w:rPr>
              <w:t xml:space="preserve"> </w:t>
            </w:r>
            <w:r w:rsidRPr="001E45ED">
              <w:rPr>
                <w:rFonts w:ascii="Calibri" w:eastAsia="Times New Roman" w:hAnsi="Calibri" w:cs="Calibri"/>
                <w:kern w:val="0"/>
                <w:lang w:eastAsia="en-GB"/>
                <w14:ligatures w14:val="none"/>
              </w:rPr>
              <w:t>Institutions must identify, monitor, assess, and mitigate climate risks, including both physical and transition risks, and adapt their processes to external changes (Art. 27-D). Governance requirements are robust: a director responsible for risk management must be appointed and registered with the Central Bank, and the board is responsible for approving and reviewing risk policies (Art. 28, 29, 30).</w:t>
            </w:r>
            <w:r>
              <w:rPr>
                <w:rFonts w:ascii="Calibri" w:eastAsia="Times New Roman" w:hAnsi="Calibri" w:cs="Calibri"/>
                <w:kern w:val="0"/>
                <w:lang w:eastAsia="en-GB"/>
                <w14:ligatures w14:val="none"/>
              </w:rPr>
              <w:t xml:space="preserve"> </w:t>
            </w:r>
            <w:r w:rsidRPr="001E45ED">
              <w:rPr>
                <w:rFonts w:ascii="Calibri" w:eastAsia="Times New Roman" w:hAnsi="Calibri" w:cs="Calibri"/>
                <w:kern w:val="0"/>
                <w:lang w:eastAsia="en-GB"/>
                <w14:ligatures w14:val="none"/>
              </w:rPr>
              <w:t>These requirements are directly aligned with Pillar 2, which emphasizes the need for effective risk management, governance, and supervisory oversight, including for emerging risks such as those related to climate.</w:t>
            </w:r>
          </w:p>
          <w:p w14:paraId="19A08324" w14:textId="7F8A035F" w:rsidR="001E45ED" w:rsidRPr="007B5070" w:rsidRDefault="001E45ED" w:rsidP="001E45E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Pillar 3: </w:t>
            </w:r>
            <w:r w:rsidRPr="001E45ED">
              <w:rPr>
                <w:rFonts w:ascii="Calibri" w:eastAsia="Times New Roman" w:hAnsi="Calibri" w:cs="Calibri"/>
                <w:kern w:val="0"/>
                <w:lang w:eastAsia="en-GB"/>
                <w14:ligatures w14:val="none"/>
              </w:rPr>
              <w:t>The Resolution requires institutions to maintain documentation and periodic management reports on their risk management structure, to be available to the Central Bank for five years (Art. 32-B).</w:t>
            </w:r>
            <w:r>
              <w:rPr>
                <w:rFonts w:ascii="Calibri" w:eastAsia="Times New Roman" w:hAnsi="Calibri" w:cs="Calibri"/>
                <w:kern w:val="0"/>
                <w:lang w:eastAsia="en-GB"/>
                <w14:ligatures w14:val="none"/>
              </w:rPr>
              <w:t xml:space="preserve"> </w:t>
            </w:r>
            <w:r w:rsidRPr="001E45ED">
              <w:rPr>
                <w:rFonts w:ascii="Calibri" w:eastAsia="Times New Roman" w:hAnsi="Calibri" w:cs="Calibri"/>
                <w:kern w:val="0"/>
                <w:lang w:eastAsia="en-GB"/>
                <w14:ligatures w14:val="none"/>
              </w:rPr>
              <w:t>For electronic money issuers, there is a specific requirement for public disclosure of the main characteristics of their liquidity risk management structure, which may include climate-related aspects (Art. 24-C).</w:t>
            </w:r>
            <w:r>
              <w:rPr>
                <w:rFonts w:ascii="Calibri" w:eastAsia="Times New Roman" w:hAnsi="Calibri" w:cs="Calibri"/>
                <w:kern w:val="0"/>
                <w:lang w:eastAsia="en-GB"/>
                <w14:ligatures w14:val="none"/>
              </w:rPr>
              <w:t xml:space="preserve"> </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2739E93A" w:rsidR="007B7DEE" w:rsidRPr="00CF2E7C" w:rsidRDefault="007B50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4FF981D7" w:rsidR="00ED7E12" w:rsidRPr="00CF2E7C" w:rsidRDefault="00F108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11ACD12A"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2D848503" w:rsidR="00ED7E12" w:rsidRPr="00CF2E7C" w:rsidRDefault="00470C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6DA940C" w14:textId="76D1A012" w:rsidR="0011070B" w:rsidRPr="0011070B" w:rsidRDefault="0011070B" w:rsidP="0011070B">
            <w:pPr>
              <w:textAlignment w:val="baseline"/>
              <w:rPr>
                <w:rFonts w:ascii="Calibri" w:eastAsia="Times New Roman" w:hAnsi="Calibri" w:cs="Calibri"/>
                <w:kern w:val="0"/>
                <w:lang w:eastAsia="en-GB"/>
                <w14:ligatures w14:val="none"/>
              </w:rPr>
            </w:pPr>
            <w:r w:rsidRPr="0011070B">
              <w:rPr>
                <w:rFonts w:ascii="Calibri" w:eastAsia="Times New Roman" w:hAnsi="Calibri" w:cs="Calibri"/>
                <w:kern w:val="0"/>
                <w:lang w:eastAsia="en-GB"/>
                <w14:ligatures w14:val="none"/>
              </w:rPr>
              <w:t xml:space="preserve">The primary mechanism for monitoring and verifying compliance with the obligations imposed by Resolution No. 4,606/2017 is regulatory oversight by the Banco Central do Brasil (BCB). The Resolution establishes several requirements that place the BCB at the </w:t>
            </w:r>
            <w:proofErr w:type="spellStart"/>
            <w:r w:rsidRPr="0011070B">
              <w:rPr>
                <w:rFonts w:ascii="Calibri" w:eastAsia="Times New Roman" w:hAnsi="Calibri" w:cs="Calibri"/>
                <w:kern w:val="0"/>
                <w:lang w:eastAsia="en-GB"/>
                <w14:ligatures w14:val="none"/>
              </w:rPr>
              <w:t>center</w:t>
            </w:r>
            <w:proofErr w:type="spellEnd"/>
            <w:r w:rsidRPr="0011070B">
              <w:rPr>
                <w:rFonts w:ascii="Calibri" w:eastAsia="Times New Roman" w:hAnsi="Calibri" w:cs="Calibri"/>
                <w:kern w:val="0"/>
                <w:lang w:eastAsia="en-GB"/>
                <w14:ligatures w14:val="none"/>
              </w:rPr>
              <w:t xml:space="preserve"> of the supervisory process</w:t>
            </w:r>
            <w:r>
              <w:rPr>
                <w:rFonts w:ascii="Calibri" w:eastAsia="Times New Roman" w:hAnsi="Calibri" w:cs="Calibri"/>
                <w:kern w:val="0"/>
                <w:lang w:eastAsia="en-GB"/>
                <w14:ligatures w14:val="none"/>
              </w:rPr>
              <w:t xml:space="preserve">. </w:t>
            </w:r>
            <w:r w:rsidRPr="0011070B">
              <w:rPr>
                <w:rFonts w:ascii="Calibri" w:eastAsia="Times New Roman" w:hAnsi="Calibri" w:cs="Calibri"/>
                <w:kern w:val="0"/>
                <w:lang w:eastAsia="en-GB"/>
                <w14:ligatures w14:val="none"/>
              </w:rPr>
              <w:t>Institutions must communicate both their adoption and discontinuation of the simplified methodology to the BCB, and the use of the methodology is conditioned on the BCB’s confirmation of receipt of such communication (Art. 16). This ensures that the BCB is aware of which entities are subject to the regime and can monitor their ongoing eligibility.</w:t>
            </w:r>
            <w:r>
              <w:rPr>
                <w:rFonts w:ascii="Calibri" w:eastAsia="Times New Roman" w:hAnsi="Calibri" w:cs="Calibri"/>
                <w:kern w:val="0"/>
                <w:lang w:eastAsia="en-GB"/>
                <w14:ligatures w14:val="none"/>
              </w:rPr>
              <w:t xml:space="preserve"> </w:t>
            </w:r>
            <w:r w:rsidRPr="0011070B">
              <w:rPr>
                <w:rFonts w:ascii="Calibri" w:eastAsia="Times New Roman" w:hAnsi="Calibri" w:cs="Calibri"/>
                <w:kern w:val="0"/>
                <w:lang w:eastAsia="en-GB"/>
                <w14:ligatures w14:val="none"/>
              </w:rPr>
              <w:t xml:space="preserve">The BCB is empowered to require improvements in risk management structures if inadequacies or insufficiencies are </w:t>
            </w:r>
            <w:proofErr w:type="gramStart"/>
            <w:r w:rsidRPr="0011070B">
              <w:rPr>
                <w:rFonts w:ascii="Calibri" w:eastAsia="Times New Roman" w:hAnsi="Calibri" w:cs="Calibri"/>
                <w:kern w:val="0"/>
                <w:lang w:eastAsia="en-GB"/>
                <w14:ligatures w14:val="none"/>
              </w:rPr>
              <w:t>identified, and</w:t>
            </w:r>
            <w:proofErr w:type="gramEnd"/>
            <w:r w:rsidRPr="0011070B">
              <w:rPr>
                <w:rFonts w:ascii="Calibri" w:eastAsia="Times New Roman" w:hAnsi="Calibri" w:cs="Calibri"/>
                <w:kern w:val="0"/>
                <w:lang w:eastAsia="en-GB"/>
                <w14:ligatures w14:val="none"/>
              </w:rPr>
              <w:t xml:space="preserve"> may impose prudential measures as necessary (Art. 32-A). The BCB can also determine that certain capital instruments be disregarded if requirements are not met (Art. 32).</w:t>
            </w:r>
            <w:r>
              <w:rPr>
                <w:rFonts w:ascii="Calibri" w:eastAsia="Times New Roman" w:hAnsi="Calibri" w:cs="Calibri"/>
                <w:kern w:val="0"/>
                <w:lang w:eastAsia="en-GB"/>
                <w14:ligatures w14:val="none"/>
              </w:rPr>
              <w:t xml:space="preserve"> </w:t>
            </w:r>
            <w:r w:rsidRPr="0011070B">
              <w:rPr>
                <w:rFonts w:ascii="Calibri" w:eastAsia="Times New Roman" w:hAnsi="Calibri" w:cs="Calibri"/>
                <w:kern w:val="0"/>
                <w:lang w:eastAsia="en-GB"/>
                <w14:ligatures w14:val="none"/>
              </w:rPr>
              <w:t>Regulated entities are required to maintain documentation related to their risk management structures and periodic management reports for a minimum of five years, making them available to the BCB upon request (Art. 32-B). This enables the BCB to conduct inspections and audits as part of its supervisory activities.</w:t>
            </w:r>
          </w:p>
          <w:p w14:paraId="42FF8A1B" w14:textId="48CCE617" w:rsidR="00ED7E12" w:rsidRPr="00CF2E7C" w:rsidRDefault="0011070B" w:rsidP="0011070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for self-reporting, i</w:t>
            </w:r>
            <w:r w:rsidRPr="0011070B">
              <w:rPr>
                <w:rFonts w:ascii="Calibri" w:eastAsia="Times New Roman" w:hAnsi="Calibri" w:cs="Calibri"/>
                <w:kern w:val="0"/>
                <w:lang w:eastAsia="en-GB"/>
                <w14:ligatures w14:val="none"/>
              </w:rPr>
              <w:t>nstitutions must maintain clearly documented policies, strategies, routines, and procedures for risk management, including climate-related risks (Art. 21). They are also required to produce periodic management reports on the performance of their risk management structures (Art. 21, IX).</w:t>
            </w:r>
            <w:r w:rsidRPr="0011070B" w:rsidDel="00470C6B">
              <w:rPr>
                <w:rFonts w:ascii="Calibri" w:eastAsia="Times New Roman" w:hAnsi="Calibri" w:cs="Calibri"/>
                <w:kern w:val="0"/>
                <w:lang w:eastAsia="en-GB"/>
                <w14:ligatures w14:val="none"/>
              </w:rPr>
              <w:t xml:space="preserve"> </w:t>
            </w:r>
            <w:r w:rsidRPr="0011070B">
              <w:rPr>
                <w:rFonts w:ascii="Calibri" w:eastAsia="Times New Roman" w:hAnsi="Calibri" w:cs="Calibri"/>
                <w:kern w:val="0"/>
                <w:lang w:eastAsia="en-GB"/>
                <w14:ligatures w14:val="none"/>
              </w:rPr>
              <w:t>For certain entities, such as electronic money issuers, there is a requirement to publicly disclose the main characteristics of their liquidity risk management structure (Art. 24-C). This disclosure is a form of self-reporting that also supports market discipline.</w:t>
            </w:r>
            <w:r w:rsidRPr="0011070B" w:rsidDel="00470C6B">
              <w:rPr>
                <w:rFonts w:ascii="Calibri" w:eastAsia="Times New Roman" w:hAnsi="Calibri" w:cs="Calibri"/>
                <w:kern w:val="0"/>
                <w:lang w:eastAsia="en-GB"/>
                <w14:ligatures w14:val="none"/>
              </w:rPr>
              <w:t xml:space="preserv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6ED034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1184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587DD2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1184C">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5E33FD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1184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606967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1184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38D47C0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1184C">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5AACE2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1184C">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2AFB71AB" w:rsidR="00C82860" w:rsidRPr="00CF2E7C" w:rsidRDefault="00304D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59AA75DD" w:rsidR="00C82860" w:rsidRPr="00CF2E7C" w:rsidRDefault="00F41A4D" w:rsidP="00F41A4D">
            <w:pPr>
              <w:textAlignment w:val="baseline"/>
              <w:rPr>
                <w:rFonts w:ascii="Calibri" w:eastAsia="Times New Roman" w:hAnsi="Calibri" w:cs="Calibri"/>
                <w:kern w:val="0"/>
                <w:lang w:eastAsia="en-GB"/>
                <w14:ligatures w14:val="none"/>
              </w:rPr>
            </w:pPr>
            <w:r w:rsidRPr="00F41A4D">
              <w:rPr>
                <w:rFonts w:ascii="Calibri" w:eastAsia="Times New Roman" w:hAnsi="Calibri" w:cs="Calibri"/>
                <w:kern w:val="0"/>
                <w:lang w:eastAsia="en-GB"/>
                <w14:ligatures w14:val="none"/>
              </w:rPr>
              <w:t>Article 24-C of the Resolution requires that institutions issuing electronic money must describe the main characteristics of their liquidity risk management structure in a publicly accessible report, at least annually. While the primary focus of this report is liquidity risk, the Resolution also mandates that the risk management structure for these institutions must address climate risks (see Article 20, item V; Article 27-C). Therefore, if climate risks are relevant to the institution, they are expected to be covered in this public report.</w:t>
            </w:r>
            <w:r>
              <w:rPr>
                <w:rFonts w:ascii="Calibri" w:eastAsia="Times New Roman" w:hAnsi="Calibri" w:cs="Calibri"/>
                <w:kern w:val="0"/>
                <w:lang w:eastAsia="en-GB"/>
                <w14:ligatures w14:val="none"/>
              </w:rPr>
              <w:t xml:space="preserve"> </w:t>
            </w:r>
            <w:r w:rsidRPr="00F41A4D">
              <w:rPr>
                <w:rFonts w:ascii="Calibri" w:eastAsia="Times New Roman" w:hAnsi="Calibri" w:cs="Calibri"/>
                <w:kern w:val="0"/>
                <w:lang w:eastAsia="en-GB"/>
                <w14:ligatures w14:val="none"/>
              </w:rPr>
              <w:t>For other institutions that opt for the simplified methodology, the Resolution does not explicitly require public disclosure of climate risk management and governance practices. However, it does require that documentation related to the risk management structure and internal reports be kept for five years and made available to the Central Bank of Brazil upon request (Article 32-B). This documentation must cover all relevant risks, including climate risk, but there is no requirement for public disclosure of this information to the market or society.</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2A68E40D" w:rsidR="00C82860" w:rsidRPr="00CF2E7C" w:rsidRDefault="003C5F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17BF8EEF" w:rsidR="00C82860" w:rsidRPr="00CF2E7C" w:rsidRDefault="003C5F77" w:rsidP="003C5F77">
            <w:pPr>
              <w:textAlignment w:val="baseline"/>
              <w:rPr>
                <w:rFonts w:ascii="Calibri" w:eastAsia="Times New Roman" w:hAnsi="Calibri" w:cs="Calibri"/>
                <w:kern w:val="0"/>
                <w:lang w:eastAsia="en-GB"/>
                <w14:ligatures w14:val="none"/>
              </w:rPr>
            </w:pPr>
            <w:r w:rsidRPr="003C5F77">
              <w:rPr>
                <w:rFonts w:ascii="Calibri" w:eastAsia="Times New Roman" w:hAnsi="Calibri" w:cs="Calibri"/>
                <w:kern w:val="0"/>
                <w:lang w:eastAsia="en-GB"/>
                <w14:ligatures w14:val="none"/>
              </w:rPr>
              <w:t>While the Resolution does not use the explicit term "due diligence," it requires that, as part of the risk management process, institutions must identify and assess all relevant risks</w:t>
            </w:r>
            <w:r>
              <w:rPr>
                <w:rFonts w:ascii="Calibri" w:eastAsia="Times New Roman" w:hAnsi="Calibri" w:cs="Calibri"/>
                <w:kern w:val="0"/>
                <w:lang w:eastAsia="en-GB"/>
                <w14:ligatures w14:val="none"/>
              </w:rPr>
              <w:t xml:space="preserve"> – </w:t>
            </w:r>
            <w:r w:rsidRPr="003C5F77">
              <w:rPr>
                <w:rFonts w:ascii="Calibri" w:eastAsia="Times New Roman" w:hAnsi="Calibri" w:cs="Calibri"/>
                <w:kern w:val="0"/>
                <w:lang w:eastAsia="en-GB"/>
                <w14:ligatures w14:val="none"/>
              </w:rPr>
              <w:t>including climate risk</w:t>
            </w:r>
            <w:r>
              <w:rPr>
                <w:rFonts w:ascii="Calibri" w:eastAsia="Times New Roman" w:hAnsi="Calibri" w:cs="Calibri"/>
                <w:kern w:val="0"/>
                <w:lang w:eastAsia="en-GB"/>
                <w14:ligatures w14:val="none"/>
              </w:rPr>
              <w:t xml:space="preserve"> – </w:t>
            </w:r>
            <w:r w:rsidRPr="003C5F77">
              <w:rPr>
                <w:rFonts w:ascii="Calibri" w:eastAsia="Times New Roman" w:hAnsi="Calibri" w:cs="Calibri"/>
                <w:kern w:val="0"/>
                <w:lang w:eastAsia="en-GB"/>
                <w14:ligatures w14:val="none"/>
              </w:rPr>
              <w:t xml:space="preserve">when approving new clients, products, or transactions. </w:t>
            </w:r>
            <w:r>
              <w:rPr>
                <w:rFonts w:ascii="Calibri" w:eastAsia="Times New Roman" w:hAnsi="Calibri" w:cs="Calibri"/>
                <w:kern w:val="0"/>
                <w:lang w:eastAsia="en-GB"/>
                <w14:ligatures w14:val="none"/>
              </w:rPr>
              <w:t xml:space="preserve">Pursuant to </w:t>
            </w:r>
            <w:r w:rsidRPr="003C5F77">
              <w:rPr>
                <w:rFonts w:ascii="Calibri" w:eastAsia="Times New Roman" w:hAnsi="Calibri" w:cs="Calibri"/>
                <w:kern w:val="0"/>
                <w:lang w:eastAsia="en-GB"/>
                <w14:ligatures w14:val="none"/>
              </w:rPr>
              <w:t>Article 21, VII</w:t>
            </w:r>
            <w:r>
              <w:rPr>
                <w:rFonts w:ascii="Calibri" w:eastAsia="Times New Roman" w:hAnsi="Calibri" w:cs="Calibri"/>
                <w:kern w:val="0"/>
                <w:lang w:eastAsia="en-GB"/>
                <w14:ligatures w14:val="none"/>
              </w:rPr>
              <w:t>, t</w:t>
            </w:r>
            <w:r w:rsidRPr="003C5F77">
              <w:rPr>
                <w:rFonts w:ascii="Calibri" w:eastAsia="Times New Roman" w:hAnsi="Calibri" w:cs="Calibri"/>
                <w:kern w:val="0"/>
                <w:lang w:eastAsia="en-GB"/>
                <w14:ligatures w14:val="none"/>
              </w:rPr>
              <w:t>he risk management structure must provide for the prior identification of risks inherent to significant modifications in existing products and services, as well as to new products and services.</w:t>
            </w:r>
            <w:r>
              <w:rPr>
                <w:rFonts w:ascii="Calibri" w:eastAsia="Times New Roman" w:hAnsi="Calibri" w:cs="Calibri"/>
                <w:kern w:val="0"/>
                <w:lang w:eastAsia="en-GB"/>
                <w14:ligatures w14:val="none"/>
              </w:rPr>
              <w:t xml:space="preserve"> As per </w:t>
            </w:r>
            <w:r w:rsidRPr="003C5F77">
              <w:rPr>
                <w:rFonts w:ascii="Calibri" w:eastAsia="Times New Roman" w:hAnsi="Calibri" w:cs="Calibri"/>
                <w:kern w:val="0"/>
                <w:lang w:eastAsia="en-GB"/>
                <w14:ligatures w14:val="none"/>
              </w:rPr>
              <w:t>Article 27-D, I</w:t>
            </w:r>
            <w:r>
              <w:rPr>
                <w:rFonts w:ascii="Calibri" w:eastAsia="Times New Roman" w:hAnsi="Calibri" w:cs="Calibri"/>
                <w:kern w:val="0"/>
                <w:lang w:eastAsia="en-GB"/>
                <w14:ligatures w14:val="none"/>
              </w:rPr>
              <w:t>, i</w:t>
            </w:r>
            <w:r w:rsidRPr="003C5F77">
              <w:rPr>
                <w:rFonts w:ascii="Calibri" w:eastAsia="Times New Roman" w:hAnsi="Calibri" w:cs="Calibri"/>
                <w:kern w:val="0"/>
                <w:lang w:eastAsia="en-GB"/>
                <w14:ligatures w14:val="none"/>
              </w:rPr>
              <w:t>nstitutions must have mechanisms to identify and monitor climate risk arising from their products, services, activities, and those of their counterparties.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25A704C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D49D4">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0A4CBD4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D49D4">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29730D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D49D4">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722B397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D49D4">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1DD8BF04" w:rsidR="00C82860" w:rsidRPr="00CF2E7C" w:rsidRDefault="00750B0B" w:rsidP="00750B0B">
            <w:pPr>
              <w:textAlignment w:val="baseline"/>
              <w:rPr>
                <w:rFonts w:ascii="Calibri" w:eastAsia="Times New Roman" w:hAnsi="Calibri" w:cs="Calibri"/>
                <w:kern w:val="0"/>
                <w:lang w:eastAsia="en-GB"/>
                <w14:ligatures w14:val="none"/>
              </w:rPr>
            </w:pPr>
            <w:r w:rsidRPr="00750B0B">
              <w:rPr>
                <w:rFonts w:ascii="Calibri" w:eastAsia="Times New Roman" w:hAnsi="Calibri" w:cs="Calibri"/>
                <w:kern w:val="0"/>
                <w:lang w:eastAsia="en-GB"/>
                <w14:ligatures w14:val="none"/>
              </w:rPr>
              <w:t>The relevant requirements are found in</w:t>
            </w:r>
            <w:r>
              <w:rPr>
                <w:rFonts w:ascii="Calibri" w:eastAsia="Times New Roman" w:hAnsi="Calibri" w:cs="Calibri"/>
                <w:kern w:val="0"/>
                <w:lang w:eastAsia="en-GB"/>
                <w14:ligatures w14:val="none"/>
              </w:rPr>
              <w:t xml:space="preserve"> </w:t>
            </w:r>
            <w:r w:rsidRPr="00750B0B">
              <w:rPr>
                <w:rFonts w:ascii="Calibri" w:eastAsia="Times New Roman" w:hAnsi="Calibri" w:cs="Calibri"/>
                <w:kern w:val="0"/>
                <w:lang w:eastAsia="en-GB"/>
                <w14:ligatures w14:val="none"/>
              </w:rPr>
              <w:t>Section III-A (Management of Social, Environmental, and Climate Risk)</w:t>
            </w:r>
            <w:r>
              <w:rPr>
                <w:rFonts w:ascii="Calibri" w:eastAsia="Times New Roman" w:hAnsi="Calibri" w:cs="Calibri"/>
                <w:kern w:val="0"/>
                <w:lang w:eastAsia="en-GB"/>
                <w14:ligatures w14:val="none"/>
              </w:rPr>
              <w:t xml:space="preserve">, specifically in </w:t>
            </w:r>
            <w:r w:rsidRPr="00750B0B">
              <w:rPr>
                <w:rFonts w:ascii="Calibri" w:eastAsia="Times New Roman" w:hAnsi="Calibri" w:cs="Calibri"/>
                <w:kern w:val="0"/>
                <w:lang w:eastAsia="en-GB"/>
                <w14:ligatures w14:val="none"/>
              </w:rPr>
              <w:t>Article 27-D</w:t>
            </w:r>
            <w:r>
              <w:rPr>
                <w:rFonts w:ascii="Calibri" w:eastAsia="Times New Roman" w:hAnsi="Calibri" w:cs="Calibri"/>
                <w:kern w:val="0"/>
                <w:lang w:eastAsia="en-GB"/>
                <w14:ligatures w14:val="none"/>
              </w:rPr>
              <w:t xml:space="preserve">. </w:t>
            </w:r>
            <w:r w:rsidRPr="00750B0B">
              <w:rPr>
                <w:rFonts w:ascii="Calibri" w:eastAsia="Times New Roman" w:hAnsi="Calibri" w:cs="Calibri"/>
                <w:kern w:val="0"/>
                <w:lang w:eastAsia="en-GB"/>
                <w14:ligatures w14:val="none"/>
              </w:rPr>
              <w:t xml:space="preserve">The risk management structure must include mechanisms for the identification and monitoring of climate risk incurred by the institution </w:t>
            </w:r>
            <w:proofErr w:type="gramStart"/>
            <w:r w:rsidRPr="00750B0B">
              <w:rPr>
                <w:rFonts w:ascii="Calibri" w:eastAsia="Times New Roman" w:hAnsi="Calibri" w:cs="Calibri"/>
                <w:kern w:val="0"/>
                <w:lang w:eastAsia="en-GB"/>
                <w14:ligatures w14:val="none"/>
              </w:rPr>
              <w:t>as a result of</w:t>
            </w:r>
            <w:proofErr w:type="gramEnd"/>
            <w:r w:rsidRPr="00750B0B">
              <w:rPr>
                <w:rFonts w:ascii="Calibri" w:eastAsia="Times New Roman" w:hAnsi="Calibri" w:cs="Calibri"/>
                <w:kern w:val="0"/>
                <w:lang w:eastAsia="en-GB"/>
                <w14:ligatures w14:val="none"/>
              </w:rPr>
              <w:t xml:space="preserve"> its products, services, activities, or processes, as well as those of its counterparties, controlled entities, and relevant suppliers or service providers</w:t>
            </w:r>
            <w:r>
              <w:rPr>
                <w:rFonts w:ascii="Calibri" w:eastAsia="Times New Roman" w:hAnsi="Calibri" w:cs="Calibri"/>
                <w:kern w:val="0"/>
                <w:lang w:eastAsia="en-GB"/>
                <w14:ligatures w14:val="none"/>
              </w:rPr>
              <w:t xml:space="preserve"> (item I). </w:t>
            </w:r>
            <w:r w:rsidRPr="00750B0B">
              <w:rPr>
                <w:rFonts w:ascii="Calibri" w:eastAsia="Times New Roman" w:hAnsi="Calibri" w:cs="Calibri"/>
                <w:kern w:val="0"/>
                <w:lang w:eastAsia="en-GB"/>
                <w14:ligatures w14:val="none"/>
              </w:rPr>
              <w:t>This encompasses exposures arising from the institution’s portfolio, including those related to specific geographical areas or economic sectors.</w:t>
            </w:r>
            <w:r>
              <w:rPr>
                <w:rFonts w:ascii="Calibri" w:eastAsia="Times New Roman" w:hAnsi="Calibri" w:cs="Calibri"/>
                <w:kern w:val="0"/>
                <w:lang w:eastAsia="en-GB"/>
                <w14:ligatures w14:val="none"/>
              </w:rPr>
              <w:t xml:space="preserve"> </w:t>
            </w:r>
            <w:r w:rsidRPr="00750B0B">
              <w:rPr>
                <w:rFonts w:ascii="Calibri" w:eastAsia="Times New Roman" w:hAnsi="Calibri" w:cs="Calibri"/>
                <w:kern w:val="0"/>
                <w:lang w:eastAsia="en-GB"/>
                <w14:ligatures w14:val="none"/>
              </w:rPr>
              <w:t>Institutions must provide for the "identification, evaluation, classification, and measurement of social, environmental, and climate risk using consistent and verifiable criteria and information, including publicly available information."</w:t>
            </w:r>
            <w:r>
              <w:rPr>
                <w:rFonts w:ascii="Calibri" w:eastAsia="Times New Roman" w:hAnsi="Calibri" w:cs="Calibri"/>
                <w:kern w:val="0"/>
                <w:lang w:eastAsia="en-GB"/>
                <w14:ligatures w14:val="none"/>
              </w:rPr>
              <w:t xml:space="preserve"> (item II).  </w:t>
            </w:r>
            <w:r w:rsidRPr="00750B0B">
              <w:rPr>
                <w:rFonts w:ascii="Calibri" w:eastAsia="Times New Roman" w:hAnsi="Calibri" w:cs="Calibri"/>
                <w:kern w:val="0"/>
                <w:lang w:eastAsia="en-GB"/>
                <w14:ligatures w14:val="none"/>
              </w:rPr>
              <w:t>Institutions must have "clearly documented and verifiable criteria for the identification of social, environmental, and climate risk as significant sources of risk."</w:t>
            </w:r>
            <w:r>
              <w:rPr>
                <w:rFonts w:ascii="Calibri" w:eastAsia="Times New Roman" w:hAnsi="Calibri" w:cs="Calibri"/>
                <w:kern w:val="0"/>
                <w:lang w:eastAsia="en-GB"/>
                <w14:ligatures w14:val="none"/>
              </w:rPr>
              <w:t xml:space="preserve"> (item IV).</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2C073290" w:rsidR="00F26296" w:rsidRPr="00CF2E7C" w:rsidRDefault="009156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0F3AB6B3" w:rsidR="00F26296" w:rsidRPr="00CF2E7C" w:rsidRDefault="00E04D58" w:rsidP="00E04D58">
            <w:pPr>
              <w:textAlignment w:val="baseline"/>
              <w:rPr>
                <w:rFonts w:ascii="Calibri" w:eastAsia="Times New Roman" w:hAnsi="Calibri" w:cs="Calibri"/>
                <w:kern w:val="0"/>
                <w:lang w:eastAsia="en-GB"/>
                <w14:ligatures w14:val="none"/>
              </w:rPr>
            </w:pPr>
            <w:r w:rsidRPr="00E04D58">
              <w:rPr>
                <w:rFonts w:ascii="Calibri" w:eastAsia="Times New Roman" w:hAnsi="Calibri" w:cs="Calibri"/>
                <w:kern w:val="0"/>
                <w:lang w:eastAsia="en-GB"/>
                <w14:ligatures w14:val="none"/>
              </w:rPr>
              <w:t>The minimum capital requirement (</w:t>
            </w:r>
            <w:proofErr w:type="spellStart"/>
            <w:r w:rsidRPr="00E04D58">
              <w:rPr>
                <w:rFonts w:ascii="Calibri" w:eastAsia="Times New Roman" w:hAnsi="Calibri" w:cs="Calibri"/>
                <w:kern w:val="0"/>
                <w:lang w:eastAsia="en-GB"/>
                <w14:ligatures w14:val="none"/>
              </w:rPr>
              <w:t>Patrimônio</w:t>
            </w:r>
            <w:proofErr w:type="spellEnd"/>
            <w:r w:rsidRPr="00E04D58">
              <w:rPr>
                <w:rFonts w:ascii="Calibri" w:eastAsia="Times New Roman" w:hAnsi="Calibri" w:cs="Calibri"/>
                <w:kern w:val="0"/>
                <w:lang w:eastAsia="en-GB"/>
                <w14:ligatures w14:val="none"/>
              </w:rPr>
              <w:t xml:space="preserve"> de </w:t>
            </w:r>
            <w:proofErr w:type="spellStart"/>
            <w:r w:rsidRPr="00E04D58">
              <w:rPr>
                <w:rFonts w:ascii="Calibri" w:eastAsia="Times New Roman" w:hAnsi="Calibri" w:cs="Calibri"/>
                <w:kern w:val="0"/>
                <w:lang w:eastAsia="en-GB"/>
                <w14:ligatures w14:val="none"/>
              </w:rPr>
              <w:t>Referência</w:t>
            </w:r>
            <w:proofErr w:type="spellEnd"/>
            <w:r w:rsidRPr="00E04D58">
              <w:rPr>
                <w:rFonts w:ascii="Calibri" w:eastAsia="Times New Roman" w:hAnsi="Calibri" w:cs="Calibri"/>
                <w:kern w:val="0"/>
                <w:lang w:eastAsia="en-GB"/>
                <w14:ligatures w14:val="none"/>
              </w:rPr>
              <w:t xml:space="preserve"> </w:t>
            </w:r>
            <w:proofErr w:type="spellStart"/>
            <w:r w:rsidRPr="00E04D58">
              <w:rPr>
                <w:rFonts w:ascii="Calibri" w:eastAsia="Times New Roman" w:hAnsi="Calibri" w:cs="Calibri"/>
                <w:kern w:val="0"/>
                <w:lang w:eastAsia="en-GB"/>
                <w14:ligatures w14:val="none"/>
              </w:rPr>
              <w:t>Simplificado</w:t>
            </w:r>
            <w:proofErr w:type="spellEnd"/>
            <w:r w:rsidRPr="00E04D58">
              <w:rPr>
                <w:rFonts w:ascii="Calibri" w:eastAsia="Times New Roman" w:hAnsi="Calibri" w:cs="Calibri"/>
                <w:kern w:val="0"/>
                <w:lang w:eastAsia="en-GB"/>
                <w14:ligatures w14:val="none"/>
              </w:rPr>
              <w:t>, PR) is set as a percentage of risk-weighted assets (RWA), which are calculated based on the institution’s risk exposures</w:t>
            </w:r>
            <w:r>
              <w:rPr>
                <w:rFonts w:ascii="Calibri" w:eastAsia="Times New Roman" w:hAnsi="Calibri" w:cs="Calibri"/>
                <w:kern w:val="0"/>
                <w:lang w:eastAsia="en-GB"/>
                <w14:ligatures w14:val="none"/>
              </w:rPr>
              <w:t xml:space="preserve">, as per Article 12. </w:t>
            </w:r>
            <w:r w:rsidRPr="00E04D58">
              <w:rPr>
                <w:rFonts w:ascii="Calibri" w:eastAsia="Times New Roman" w:hAnsi="Calibri" w:cs="Calibri"/>
                <w:kern w:val="0"/>
                <w:lang w:eastAsia="en-GB"/>
                <w14:ligatures w14:val="none"/>
              </w:rPr>
              <w:t>The risk management structure, as required by Articles 20 and 27-D, must ensure that all material risks</w:t>
            </w:r>
            <w:r>
              <w:rPr>
                <w:rFonts w:ascii="Calibri" w:eastAsia="Times New Roman" w:hAnsi="Calibri" w:cs="Calibri"/>
                <w:kern w:val="0"/>
                <w:lang w:eastAsia="en-GB"/>
                <w14:ligatures w14:val="none"/>
              </w:rPr>
              <w:t xml:space="preserve">, </w:t>
            </w:r>
            <w:r w:rsidRPr="00E04D58">
              <w:rPr>
                <w:rFonts w:ascii="Calibri" w:eastAsia="Times New Roman" w:hAnsi="Calibri" w:cs="Calibri"/>
                <w:kern w:val="0"/>
                <w:lang w:eastAsia="en-GB"/>
                <w14:ligatures w14:val="none"/>
              </w:rPr>
              <w:t>including climate-related risks</w:t>
            </w:r>
            <w:r>
              <w:rPr>
                <w:rFonts w:ascii="Calibri" w:eastAsia="Times New Roman" w:hAnsi="Calibri" w:cs="Calibri"/>
                <w:kern w:val="0"/>
                <w:lang w:eastAsia="en-GB"/>
                <w14:ligatures w14:val="none"/>
              </w:rPr>
              <w:t xml:space="preserve">, </w:t>
            </w:r>
            <w:r w:rsidRPr="00E04D58">
              <w:rPr>
                <w:rFonts w:ascii="Calibri" w:eastAsia="Times New Roman" w:hAnsi="Calibri" w:cs="Calibri"/>
                <w:kern w:val="0"/>
                <w:lang w:eastAsia="en-GB"/>
                <w14:ligatures w14:val="none"/>
              </w:rPr>
              <w:t>are identified and measured, so that the RWA calculation and, consequently, the capital requirement, are adequate to cover these risks.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15014C9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1566E">
              <w:rPr>
                <w:rFonts w:ascii="Calibri" w:eastAsia="Times New Roman" w:hAnsi="Calibri" w:cs="Calibri"/>
                <w:kern w:val="0"/>
                <w:lang w:val="en-SG" w:eastAsia="en-GB"/>
                <w14:ligatures w14:val="none"/>
              </w:rPr>
              <w:t>X</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11EA782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1566E">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0CF7E953" w:rsidR="00B114FD" w:rsidRPr="00CF2E7C" w:rsidRDefault="009156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3135D066" w:rsidR="00B114FD" w:rsidRPr="00CF2E7C" w:rsidRDefault="0004125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1CBB5BD4" w:rsidR="00B114FD" w:rsidRPr="00CF2E7C" w:rsidRDefault="006D3268" w:rsidP="006D3268">
            <w:pPr>
              <w:textAlignment w:val="baseline"/>
              <w:rPr>
                <w:rFonts w:ascii="Calibri" w:eastAsia="Times New Roman" w:hAnsi="Calibri" w:cs="Calibri"/>
                <w:kern w:val="0"/>
                <w:lang w:eastAsia="en-GB"/>
                <w14:ligatures w14:val="none"/>
              </w:rPr>
            </w:pPr>
            <w:r w:rsidRPr="006D3268">
              <w:rPr>
                <w:rFonts w:ascii="Calibri" w:eastAsia="Times New Roman" w:hAnsi="Calibri" w:cs="Calibri"/>
                <w:kern w:val="0"/>
                <w:lang w:eastAsia="en-GB"/>
                <w14:ligatures w14:val="none"/>
              </w:rPr>
              <w:t>Institutions must identify and assess climate-related risks that could affect their liquidity position (Articles 20, 27-D).</w:t>
            </w:r>
            <w:r>
              <w:rPr>
                <w:rFonts w:ascii="Calibri" w:eastAsia="Times New Roman" w:hAnsi="Calibri" w:cs="Calibri"/>
                <w:kern w:val="0"/>
                <w:lang w:eastAsia="en-GB"/>
                <w14:ligatures w14:val="none"/>
              </w:rPr>
              <w:t xml:space="preserve"> </w:t>
            </w:r>
            <w:r w:rsidRPr="006D3268">
              <w:rPr>
                <w:rFonts w:ascii="Calibri" w:eastAsia="Times New Roman" w:hAnsi="Calibri" w:cs="Calibri"/>
                <w:kern w:val="0"/>
                <w:lang w:eastAsia="en-GB"/>
                <w14:ligatures w14:val="none"/>
              </w:rPr>
              <w:t>They must adapt their liquidity risk management processes and procedures to reflect the assessed climate risks, ensuring that funding profiles, liquidity buffers, and contingency plans are robust to climate-related shocks (Articles 21, 24-A, 24-B, 27-D).</w:t>
            </w:r>
            <w:r>
              <w:rPr>
                <w:rFonts w:ascii="Calibri" w:eastAsia="Times New Roman" w:hAnsi="Calibri" w:cs="Calibri"/>
                <w:kern w:val="0"/>
                <w:lang w:eastAsia="en-GB"/>
                <w14:ligatures w14:val="none"/>
              </w:rPr>
              <w:t xml:space="preserve"> </w:t>
            </w:r>
            <w:r w:rsidRPr="006D3268">
              <w:rPr>
                <w:rFonts w:ascii="Calibri" w:eastAsia="Times New Roman" w:hAnsi="Calibri" w:cs="Calibri"/>
                <w:kern w:val="0"/>
                <w:lang w:eastAsia="en-GB"/>
                <w14:ligatures w14:val="none"/>
              </w:rPr>
              <w:t xml:space="preserve">The risk management structure must be dynamic and responsive, with mechanisms to update and adjust liquidity risk management </w:t>
            </w:r>
            <w:proofErr w:type="gramStart"/>
            <w:r w:rsidRPr="006D3268">
              <w:rPr>
                <w:rFonts w:ascii="Calibri" w:eastAsia="Times New Roman" w:hAnsi="Calibri" w:cs="Calibri"/>
                <w:kern w:val="0"/>
                <w:lang w:eastAsia="en-GB"/>
                <w14:ligatures w14:val="none"/>
              </w:rPr>
              <w:t>in light of</w:t>
            </w:r>
            <w:proofErr w:type="gramEnd"/>
            <w:r w:rsidRPr="006D3268">
              <w:rPr>
                <w:rFonts w:ascii="Calibri" w:eastAsia="Times New Roman" w:hAnsi="Calibri" w:cs="Calibri"/>
                <w:kern w:val="0"/>
                <w:lang w:eastAsia="en-GB"/>
                <w14:ligatures w14:val="none"/>
              </w:rPr>
              <w:t xml:space="preserve"> new information or changes in the climate risk landscape (Article 27-D, III).</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06E98207" w:rsidR="00B114FD" w:rsidRPr="00CF2E7C" w:rsidRDefault="000457D3" w:rsidP="000457D3">
            <w:pPr>
              <w:textAlignment w:val="baseline"/>
              <w:rPr>
                <w:rFonts w:ascii="Calibri" w:eastAsia="Times New Roman" w:hAnsi="Calibri" w:cs="Calibri"/>
                <w:kern w:val="0"/>
                <w:lang w:eastAsia="en-GB"/>
                <w14:ligatures w14:val="none"/>
              </w:rPr>
            </w:pPr>
            <w:r w:rsidRPr="000457D3">
              <w:rPr>
                <w:rFonts w:ascii="Calibri" w:eastAsia="Times New Roman" w:hAnsi="Calibri" w:cs="Calibri"/>
                <w:kern w:val="0"/>
                <w:lang w:eastAsia="en-GB"/>
                <w14:ligatures w14:val="none"/>
              </w:rPr>
              <w:t xml:space="preserve">While </w:t>
            </w:r>
            <w:r>
              <w:rPr>
                <w:rFonts w:ascii="Calibri" w:eastAsia="Times New Roman" w:hAnsi="Calibri" w:cs="Calibri"/>
                <w:kern w:val="0"/>
                <w:lang w:eastAsia="en-GB"/>
                <w14:ligatures w14:val="none"/>
              </w:rPr>
              <w:t>the policy tool</w:t>
            </w:r>
            <w:r w:rsidRPr="000457D3">
              <w:rPr>
                <w:rFonts w:ascii="Calibri" w:eastAsia="Times New Roman" w:hAnsi="Calibri" w:cs="Calibri"/>
                <w:kern w:val="0"/>
                <w:lang w:eastAsia="en-GB"/>
                <w14:ligatures w14:val="none"/>
              </w:rPr>
              <w:t xml:space="preserve"> does not use the explicit term "stress test" in the context of liquidity risk, the requirements in Articles 21 and 27-D effectively mandate the use of scenario analysis and stress testing principles</w:t>
            </w:r>
            <w:r>
              <w:rPr>
                <w:rFonts w:ascii="Calibri" w:eastAsia="Times New Roman" w:hAnsi="Calibri" w:cs="Calibri"/>
                <w:kern w:val="0"/>
                <w:lang w:eastAsia="en-GB"/>
                <w14:ligatures w14:val="none"/>
              </w:rPr>
              <w:t xml:space="preserve">. </w:t>
            </w:r>
            <w:r w:rsidRPr="000457D3">
              <w:rPr>
                <w:rFonts w:ascii="Calibri" w:eastAsia="Times New Roman" w:hAnsi="Calibri" w:cs="Calibri"/>
                <w:kern w:val="0"/>
                <w:lang w:eastAsia="en-GB"/>
                <w14:ligatures w14:val="none"/>
              </w:rPr>
              <w:t>Article 21, VI requires a plan for situations of scarcity of liquid assets, which inherently involves considering adverse scenarios</w:t>
            </w:r>
            <w:r>
              <w:rPr>
                <w:rFonts w:ascii="Calibri" w:eastAsia="Times New Roman" w:hAnsi="Calibri" w:cs="Calibri"/>
                <w:kern w:val="0"/>
                <w:lang w:eastAsia="en-GB"/>
                <w14:ligatures w14:val="none"/>
              </w:rPr>
              <w:t xml:space="preserve">, </w:t>
            </w:r>
            <w:r w:rsidRPr="000457D3">
              <w:rPr>
                <w:rFonts w:ascii="Calibri" w:eastAsia="Times New Roman" w:hAnsi="Calibri" w:cs="Calibri"/>
                <w:kern w:val="0"/>
                <w:lang w:eastAsia="en-GB"/>
                <w14:ligatures w14:val="none"/>
              </w:rPr>
              <w:t>including those triggered by climate-related risks.</w:t>
            </w:r>
            <w:r>
              <w:rPr>
                <w:rFonts w:ascii="Calibri" w:eastAsia="Times New Roman" w:hAnsi="Calibri" w:cs="Calibri"/>
                <w:kern w:val="0"/>
                <w:lang w:eastAsia="en-GB"/>
                <w14:ligatures w14:val="none"/>
              </w:rPr>
              <w:t xml:space="preserve"> </w:t>
            </w:r>
            <w:r w:rsidRPr="000457D3">
              <w:rPr>
                <w:rFonts w:ascii="Calibri" w:eastAsia="Times New Roman" w:hAnsi="Calibri" w:cs="Calibri"/>
                <w:kern w:val="0"/>
                <w:lang w:eastAsia="en-GB"/>
                <w14:ligatures w14:val="none"/>
              </w:rPr>
              <w:t>Article 27-D, III requires procedures for adapting risk management to changes in the risk environment, which includes the need to periodically reassess the adequacy of liquidity buffers under new or evolving climate risk scenarios.</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642D1F60"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1CBA624D" w:rsidR="00702413" w:rsidRPr="009B5E70" w:rsidRDefault="00FD24E7" w:rsidP="00CF2E7C">
            <w:pPr>
              <w:textAlignment w:val="baseline"/>
              <w:rPr>
                <w:rFonts w:eastAsia="Times New Roman" w:cstheme="minorHAnsi"/>
                <w:kern w:val="0"/>
                <w:lang w:val="en-US" w:eastAsia="en-GB"/>
                <w14:ligatures w14:val="none"/>
              </w:rPr>
            </w:pPr>
            <w:r>
              <w:rPr>
                <w:rFonts w:eastAsia="Times New Roman" w:cstheme="minorHAnsi"/>
                <w:kern w:val="0"/>
                <w:lang w:val="en-US" w:eastAsia="en-GB"/>
                <w14:ligatures w14:val="none"/>
              </w:rPr>
              <w:t>Challenges</w:t>
            </w:r>
            <w:r w:rsidRPr="00CC33C4">
              <w:rPr>
                <w:rFonts w:eastAsia="Times New Roman" w:cstheme="minorHAnsi"/>
                <w:kern w:val="0"/>
                <w:lang w:val="en-US" w:eastAsia="en-GB"/>
                <w14:ligatures w14:val="none"/>
              </w:rPr>
              <w:t xml:space="preserve"> include the complexity and novelty of climate risks, which lack historical data and are difficult to model. Financial institutions struggle to integrate these risks into existing frameworks, especially given limited resources and technical expertise, particularly among smaller institutions. Data gaps and lack of standardization also hinder effective risk identification and measurement. Moreover, the regulation demands strong governance, accountability, and internal coordination, which are not yet fully in place. The requirements for ongoing review, scenario analysis, and stress testing are technically demanding and </w:t>
            </w:r>
            <w:proofErr w:type="gramStart"/>
            <w:r w:rsidRPr="00CC33C4">
              <w:rPr>
                <w:rFonts w:eastAsia="Times New Roman" w:cstheme="minorHAnsi"/>
                <w:kern w:val="0"/>
                <w:lang w:val="en-US" w:eastAsia="en-GB"/>
                <w14:ligatures w14:val="none"/>
              </w:rPr>
              <w:t>resource-intensive</w:t>
            </w:r>
            <w:proofErr w:type="gramEnd"/>
            <w:r w:rsidRPr="00CC33C4">
              <w:rPr>
                <w:rFonts w:eastAsia="Times New Roman" w:cstheme="minorHAnsi"/>
                <w:kern w:val="0"/>
                <w:lang w:val="en-US" w:eastAsia="en-GB"/>
                <w14:ligatures w14:val="none"/>
              </w:rPr>
              <w:t xml:space="preserve">. Finally, the principle of proportionality is difficult to </w:t>
            </w:r>
            <w:proofErr w:type="gramStart"/>
            <w:r w:rsidRPr="00CC33C4">
              <w:rPr>
                <w:rFonts w:eastAsia="Times New Roman" w:cstheme="minorHAnsi"/>
                <w:kern w:val="0"/>
                <w:lang w:val="en-US" w:eastAsia="en-GB"/>
                <w14:ligatures w14:val="none"/>
              </w:rPr>
              <w:t>operationalize</w:t>
            </w:r>
            <w:proofErr w:type="gramEnd"/>
            <w:r w:rsidRPr="00CC33C4">
              <w:rPr>
                <w:rFonts w:eastAsia="Times New Roman" w:cstheme="minorHAnsi"/>
                <w:kern w:val="0"/>
                <w:lang w:val="en-US" w:eastAsia="en-GB"/>
                <w14:ligatures w14:val="none"/>
              </w:rPr>
              <w:t>, making compliance especially burdensome for smaller players. Overall, successful implementation depends on improved guidance, standardized methodologies, and institutional support.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F2CD431" w:rsidR="00FE0EA5" w:rsidRPr="009C4D10" w:rsidRDefault="00FE0EA5" w:rsidP="00CF2E7C">
            <w:pPr>
              <w:rPr>
                <w:rFonts w:cstheme="minorHAnsi"/>
              </w:rPr>
            </w:pPr>
            <w:r w:rsidRPr="009C4D10">
              <w:rPr>
                <w:rFonts w:cstheme="minorHAnsi"/>
                <w:lang w:val="en-SG"/>
              </w:rPr>
              <w:t> </w:t>
            </w:r>
            <w:r w:rsidRPr="009C4D10">
              <w:rPr>
                <w:rFonts w:cstheme="minorHAnsi"/>
              </w:rPr>
              <w:t> </w:t>
            </w:r>
            <w:r w:rsidR="006D3268">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1CDA4061" w:rsidR="00FE0EA5" w:rsidRPr="009C4D10" w:rsidRDefault="00FE0EA5" w:rsidP="00CF2E7C">
            <w:pPr>
              <w:rPr>
                <w:rFonts w:cstheme="minorHAnsi"/>
              </w:rPr>
            </w:pPr>
            <w:r w:rsidRPr="009C4D10">
              <w:rPr>
                <w:rFonts w:cstheme="minorHAnsi"/>
                <w:lang w:val="en-SG"/>
              </w:rPr>
              <w:t> </w:t>
            </w:r>
            <w:r w:rsidRPr="009C4D10">
              <w:rPr>
                <w:rFonts w:cstheme="minorHAnsi"/>
              </w:rPr>
              <w:t> </w:t>
            </w:r>
            <w:r w:rsidR="006D326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0C0E3AA" w:rsidR="00FE0EA5" w:rsidRPr="009C4D10" w:rsidRDefault="00FE0EA5" w:rsidP="00CF2E7C">
            <w:pPr>
              <w:rPr>
                <w:rFonts w:cstheme="minorHAnsi"/>
              </w:rPr>
            </w:pPr>
            <w:r w:rsidRPr="009C4D10">
              <w:rPr>
                <w:rFonts w:cstheme="minorHAnsi"/>
                <w:lang w:val="en-SG"/>
              </w:rPr>
              <w:t> </w:t>
            </w:r>
            <w:r w:rsidRPr="009C4D10">
              <w:rPr>
                <w:rFonts w:cstheme="minorHAnsi"/>
              </w:rPr>
              <w:t> </w:t>
            </w:r>
            <w:r w:rsidR="006D326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0F6C36F1" w:rsidR="00FE0EA5" w:rsidRPr="009C4D10" w:rsidRDefault="00FE0EA5" w:rsidP="00CF2E7C">
            <w:pPr>
              <w:rPr>
                <w:rFonts w:cstheme="minorHAnsi"/>
              </w:rPr>
            </w:pPr>
            <w:r w:rsidRPr="009C4D10">
              <w:rPr>
                <w:rFonts w:cstheme="minorHAnsi"/>
                <w:lang w:val="en-SG"/>
              </w:rPr>
              <w:t> </w:t>
            </w:r>
            <w:r w:rsidRPr="009C4D10">
              <w:rPr>
                <w:rFonts w:cstheme="minorHAnsi"/>
              </w:rPr>
              <w:t> </w:t>
            </w:r>
            <w:r w:rsidR="006D326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4587CF7F" w:rsidR="00FE0EA5" w:rsidRPr="009C4D10" w:rsidRDefault="00FE0EA5" w:rsidP="00CF2E7C">
            <w:pPr>
              <w:rPr>
                <w:rFonts w:cstheme="minorHAnsi"/>
              </w:rPr>
            </w:pPr>
            <w:r w:rsidRPr="009C4D10">
              <w:rPr>
                <w:rFonts w:cstheme="minorHAnsi"/>
                <w:lang w:val="en-SG"/>
              </w:rPr>
              <w:t> </w:t>
            </w:r>
            <w:r w:rsidRPr="009C4D10">
              <w:rPr>
                <w:rFonts w:cstheme="minorHAnsi"/>
              </w:rPr>
              <w:t> </w:t>
            </w:r>
            <w:r w:rsidR="006D3268">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563B1CD4" w:rsidR="00FE0EA5" w:rsidRPr="009C4D10" w:rsidRDefault="00FE0EA5" w:rsidP="00CF2E7C">
            <w:pPr>
              <w:rPr>
                <w:rFonts w:cstheme="minorHAnsi"/>
              </w:rPr>
            </w:pPr>
            <w:r w:rsidRPr="009C4D10">
              <w:rPr>
                <w:rFonts w:cstheme="minorHAnsi"/>
              </w:rPr>
              <w:t>  </w:t>
            </w:r>
            <w:r w:rsidR="006D326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FF2AD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677315" w14:textId="77777777" w:rsidR="00F034D8" w:rsidRDefault="00F034D8" w:rsidP="00874E39">
      <w:r>
        <w:separator/>
      </w:r>
    </w:p>
  </w:endnote>
  <w:endnote w:type="continuationSeparator" w:id="0">
    <w:p w14:paraId="1FC5BA4A" w14:textId="77777777" w:rsidR="00F034D8" w:rsidRDefault="00F034D8" w:rsidP="00874E39">
      <w:r>
        <w:continuationSeparator/>
      </w:r>
    </w:p>
  </w:endnote>
  <w:endnote w:type="continuationNotice" w:id="1">
    <w:p w14:paraId="30B8BFA7" w14:textId="77777777" w:rsidR="00F034D8" w:rsidRDefault="00F034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DB3630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DD3894" w14:textId="77777777" w:rsidR="00F034D8" w:rsidRDefault="00F034D8" w:rsidP="00874E39">
      <w:r>
        <w:separator/>
      </w:r>
    </w:p>
  </w:footnote>
  <w:footnote w:type="continuationSeparator" w:id="0">
    <w:p w14:paraId="6531D287" w14:textId="77777777" w:rsidR="00F034D8" w:rsidRDefault="00F034D8" w:rsidP="00874E39">
      <w:r>
        <w:continuationSeparator/>
      </w:r>
    </w:p>
  </w:footnote>
  <w:footnote w:type="continuationNotice" w:id="1">
    <w:p w14:paraId="4E7A3A6A" w14:textId="77777777" w:rsidR="00F034D8" w:rsidRDefault="00F034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C1F789A"/>
    <w:multiLevelType w:val="multilevel"/>
    <w:tmpl w:val="12268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118528908">
    <w:abstractNumId w:val="3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25C"/>
    <w:rsid w:val="00041BB2"/>
    <w:rsid w:val="00042406"/>
    <w:rsid w:val="00042518"/>
    <w:rsid w:val="000428FA"/>
    <w:rsid w:val="000449A7"/>
    <w:rsid w:val="000457D3"/>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70B"/>
    <w:rsid w:val="0011184C"/>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2C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03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5ED"/>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D7E"/>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39A"/>
    <w:rsid w:val="003B5B6C"/>
    <w:rsid w:val="003B66F6"/>
    <w:rsid w:val="003B7854"/>
    <w:rsid w:val="003C16DA"/>
    <w:rsid w:val="003C5BA2"/>
    <w:rsid w:val="003C5F77"/>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C6B"/>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14"/>
    <w:rsid w:val="00576C68"/>
    <w:rsid w:val="00576ED8"/>
    <w:rsid w:val="005774C5"/>
    <w:rsid w:val="00580679"/>
    <w:rsid w:val="0058109E"/>
    <w:rsid w:val="00582798"/>
    <w:rsid w:val="00582995"/>
    <w:rsid w:val="00584C1D"/>
    <w:rsid w:val="00584EE1"/>
    <w:rsid w:val="00586A0A"/>
    <w:rsid w:val="005870D5"/>
    <w:rsid w:val="00587FAE"/>
    <w:rsid w:val="005900AD"/>
    <w:rsid w:val="005916D7"/>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17F"/>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3EB4"/>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1F3"/>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268"/>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B0B"/>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070"/>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80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66E"/>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DCC"/>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435"/>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E70"/>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2FA5"/>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72D"/>
    <w:rsid w:val="00A9656E"/>
    <w:rsid w:val="00AA186B"/>
    <w:rsid w:val="00AA200F"/>
    <w:rsid w:val="00AA2F4F"/>
    <w:rsid w:val="00AA38F6"/>
    <w:rsid w:val="00AA4965"/>
    <w:rsid w:val="00AA54B6"/>
    <w:rsid w:val="00AA6DDB"/>
    <w:rsid w:val="00AB0830"/>
    <w:rsid w:val="00AB0FA1"/>
    <w:rsid w:val="00AB2CCC"/>
    <w:rsid w:val="00AB4F2C"/>
    <w:rsid w:val="00AB5E37"/>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576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1BD"/>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F24"/>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945"/>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460"/>
    <w:rsid w:val="00CB1649"/>
    <w:rsid w:val="00CB179D"/>
    <w:rsid w:val="00CB3E5E"/>
    <w:rsid w:val="00CB4EBD"/>
    <w:rsid w:val="00CB6338"/>
    <w:rsid w:val="00CB76AA"/>
    <w:rsid w:val="00CB790E"/>
    <w:rsid w:val="00CC1407"/>
    <w:rsid w:val="00CC33C4"/>
    <w:rsid w:val="00CC377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3FC5"/>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4DB9"/>
    <w:rsid w:val="00DB61E7"/>
    <w:rsid w:val="00DB6C3C"/>
    <w:rsid w:val="00DC18A5"/>
    <w:rsid w:val="00DC1D8C"/>
    <w:rsid w:val="00DC231D"/>
    <w:rsid w:val="00DC31BF"/>
    <w:rsid w:val="00DC33EF"/>
    <w:rsid w:val="00DC4911"/>
    <w:rsid w:val="00DC710D"/>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B29"/>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4D58"/>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5216"/>
    <w:rsid w:val="00E36D6E"/>
    <w:rsid w:val="00E37C8B"/>
    <w:rsid w:val="00E37ECE"/>
    <w:rsid w:val="00E405B9"/>
    <w:rsid w:val="00E41941"/>
    <w:rsid w:val="00E425D4"/>
    <w:rsid w:val="00E43229"/>
    <w:rsid w:val="00E454C9"/>
    <w:rsid w:val="00E50761"/>
    <w:rsid w:val="00E509D9"/>
    <w:rsid w:val="00E50B13"/>
    <w:rsid w:val="00E51B16"/>
    <w:rsid w:val="00E5452B"/>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9D4"/>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4D8"/>
    <w:rsid w:val="00F03665"/>
    <w:rsid w:val="00F03D4C"/>
    <w:rsid w:val="00F04743"/>
    <w:rsid w:val="00F07460"/>
    <w:rsid w:val="00F108E9"/>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A4D"/>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FF4"/>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7E2"/>
    <w:rsid w:val="00FA2D54"/>
    <w:rsid w:val="00FA38D8"/>
    <w:rsid w:val="00FA4B8D"/>
    <w:rsid w:val="00FA6DED"/>
    <w:rsid w:val="00FA76DF"/>
    <w:rsid w:val="00FA78EA"/>
    <w:rsid w:val="00FB5A70"/>
    <w:rsid w:val="00FC0689"/>
    <w:rsid w:val="00FC13F0"/>
    <w:rsid w:val="00FC337B"/>
    <w:rsid w:val="00FC5AA7"/>
    <w:rsid w:val="00FC6E48"/>
    <w:rsid w:val="00FD24E7"/>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ADD"/>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0239400">
      <w:bodyDiv w:val="1"/>
      <w:marLeft w:val="0"/>
      <w:marRight w:val="0"/>
      <w:marTop w:val="0"/>
      <w:marBottom w:val="0"/>
      <w:divBdr>
        <w:top w:val="none" w:sz="0" w:space="0" w:color="auto"/>
        <w:left w:val="none" w:sz="0" w:space="0" w:color="auto"/>
        <w:bottom w:val="none" w:sz="0" w:space="0" w:color="auto"/>
        <w:right w:val="none" w:sz="0" w:space="0" w:color="auto"/>
      </w:divBdr>
    </w:div>
    <w:div w:id="34894537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87030">
      <w:bodyDiv w:val="1"/>
      <w:marLeft w:val="0"/>
      <w:marRight w:val="0"/>
      <w:marTop w:val="0"/>
      <w:marBottom w:val="0"/>
      <w:divBdr>
        <w:top w:val="none" w:sz="0" w:space="0" w:color="auto"/>
        <w:left w:val="none" w:sz="0" w:space="0" w:color="auto"/>
        <w:bottom w:val="none" w:sz="0" w:space="0" w:color="auto"/>
        <w:right w:val="none" w:sz="0" w:space="0" w:color="auto"/>
      </w:divBdr>
    </w:div>
    <w:div w:id="916281506">
      <w:bodyDiv w:val="1"/>
      <w:marLeft w:val="0"/>
      <w:marRight w:val="0"/>
      <w:marTop w:val="0"/>
      <w:marBottom w:val="0"/>
      <w:divBdr>
        <w:top w:val="none" w:sz="0" w:space="0" w:color="auto"/>
        <w:left w:val="none" w:sz="0" w:space="0" w:color="auto"/>
        <w:bottom w:val="none" w:sz="0" w:space="0" w:color="auto"/>
        <w:right w:val="none" w:sz="0" w:space="0" w:color="auto"/>
      </w:divBdr>
    </w:div>
    <w:div w:id="1047878285">
      <w:bodyDiv w:val="1"/>
      <w:marLeft w:val="0"/>
      <w:marRight w:val="0"/>
      <w:marTop w:val="0"/>
      <w:marBottom w:val="0"/>
      <w:divBdr>
        <w:top w:val="none" w:sz="0" w:space="0" w:color="auto"/>
        <w:left w:val="none" w:sz="0" w:space="0" w:color="auto"/>
        <w:bottom w:val="none" w:sz="0" w:space="0" w:color="auto"/>
        <w:right w:val="none" w:sz="0" w:space="0" w:color="auto"/>
      </w:divBdr>
    </w:div>
    <w:div w:id="114682208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110669">
      <w:bodyDiv w:val="1"/>
      <w:marLeft w:val="0"/>
      <w:marRight w:val="0"/>
      <w:marTop w:val="0"/>
      <w:marBottom w:val="0"/>
      <w:divBdr>
        <w:top w:val="none" w:sz="0" w:space="0" w:color="auto"/>
        <w:left w:val="none" w:sz="0" w:space="0" w:color="auto"/>
        <w:bottom w:val="none" w:sz="0" w:space="0" w:color="auto"/>
        <w:right w:val="none" w:sz="0" w:space="0" w:color="auto"/>
      </w:divBdr>
    </w:div>
    <w:div w:id="1440754205">
      <w:bodyDiv w:val="1"/>
      <w:marLeft w:val="0"/>
      <w:marRight w:val="0"/>
      <w:marTop w:val="0"/>
      <w:marBottom w:val="0"/>
      <w:divBdr>
        <w:top w:val="none" w:sz="0" w:space="0" w:color="auto"/>
        <w:left w:val="none" w:sz="0" w:space="0" w:color="auto"/>
        <w:bottom w:val="none" w:sz="0" w:space="0" w:color="auto"/>
        <w:right w:val="none" w:sz="0" w:space="0" w:color="auto"/>
      </w:divBdr>
    </w:div>
    <w:div w:id="1475877766">
      <w:bodyDiv w:val="1"/>
      <w:marLeft w:val="0"/>
      <w:marRight w:val="0"/>
      <w:marTop w:val="0"/>
      <w:marBottom w:val="0"/>
      <w:divBdr>
        <w:top w:val="none" w:sz="0" w:space="0" w:color="auto"/>
        <w:left w:val="none" w:sz="0" w:space="0" w:color="auto"/>
        <w:bottom w:val="none" w:sz="0" w:space="0" w:color="auto"/>
        <w:right w:val="none" w:sz="0" w:space="0" w:color="auto"/>
      </w:divBdr>
    </w:div>
    <w:div w:id="1661927820">
      <w:bodyDiv w:val="1"/>
      <w:marLeft w:val="0"/>
      <w:marRight w:val="0"/>
      <w:marTop w:val="0"/>
      <w:marBottom w:val="0"/>
      <w:divBdr>
        <w:top w:val="none" w:sz="0" w:space="0" w:color="auto"/>
        <w:left w:val="none" w:sz="0" w:space="0" w:color="auto"/>
        <w:bottom w:val="none" w:sz="0" w:space="0" w:color="auto"/>
        <w:right w:val="none" w:sz="0" w:space="0" w:color="auto"/>
      </w:divBdr>
    </w:div>
    <w:div w:id="174459844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2863215">
      <w:bodyDiv w:val="1"/>
      <w:marLeft w:val="0"/>
      <w:marRight w:val="0"/>
      <w:marTop w:val="0"/>
      <w:marBottom w:val="0"/>
      <w:divBdr>
        <w:top w:val="none" w:sz="0" w:space="0" w:color="auto"/>
        <w:left w:val="none" w:sz="0" w:space="0" w:color="auto"/>
        <w:bottom w:val="none" w:sz="0" w:space="0" w:color="auto"/>
        <w:right w:val="none" w:sz="0" w:space="0" w:color="auto"/>
      </w:divBdr>
    </w:div>
    <w:div w:id="1940409423">
      <w:bodyDiv w:val="1"/>
      <w:marLeft w:val="0"/>
      <w:marRight w:val="0"/>
      <w:marTop w:val="0"/>
      <w:marBottom w:val="0"/>
      <w:divBdr>
        <w:top w:val="none" w:sz="0" w:space="0" w:color="auto"/>
        <w:left w:val="none" w:sz="0" w:space="0" w:color="auto"/>
        <w:bottom w:val="none" w:sz="0" w:space="0" w:color="auto"/>
        <w:right w:val="none" w:sz="0" w:space="0" w:color="auto"/>
      </w:divBdr>
    </w:div>
    <w:div w:id="195123450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normativos.bcb.gov.br/Lists/Normativos/Attachments/50454/Res_4606_v5_P.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60AD78-991F-47B6-A7A8-4CE197EAAD51}"/>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81</Pages>
  <Words>23818</Words>
  <Characters>138626</Characters>
  <Application>Microsoft Office Word</Application>
  <DocSecurity>0</DocSecurity>
  <Lines>2718</Lines>
  <Paragraphs>515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161929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2025-07-21T23:16:00Z</dcterms:created>
  <dcterms:modified xsi:type="dcterms:W3CDTF">2025-07-21T23:16:00Z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